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b/>
          <w:bCs/>
          <w:noProof/>
          <w:sz w:val="32"/>
          <w:szCs w:val="32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sz w:val="32"/>
          <w:szCs w:val="32"/>
          <w:rtl/>
        </w:rPr>
        <w:t xml:space="preserve">(عنوان با فونت </w:t>
      </w:r>
      <w:r>
        <w:rPr>
          <w:rFonts w:ascii="Times New Roman" w:eastAsia="Times New Roman" w:hAnsi="Times New Roman" w:cs="B Nazanin"/>
          <w:b/>
          <w:bCs/>
          <w:noProof/>
          <w:sz w:val="32"/>
          <w:szCs w:val="32"/>
          <w:lang w:bidi="fa-IR"/>
        </w:rPr>
        <w:t xml:space="preserve">B Nazanin 16pt </w:t>
      </w:r>
      <w:r>
        <w:rPr>
          <w:rFonts w:ascii="Times New Roman" w:eastAsia="Times New Roman" w:hAnsi="Times New Roman" w:cs="B Nazanin" w:hint="cs"/>
          <w:b/>
          <w:bCs/>
          <w:noProof/>
          <w:sz w:val="32"/>
          <w:szCs w:val="32"/>
          <w:rtl/>
          <w:lang w:bidi="fa-IR"/>
        </w:rPr>
        <w:t xml:space="preserve"> پررنگ)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b/>
          <w:bCs/>
          <w:noProof/>
          <w:sz w:val="20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sz w:val="20"/>
          <w:szCs w:val="24"/>
          <w:rtl/>
          <w:lang w:bidi="fa-IR"/>
        </w:rPr>
        <w:t>مولف اول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4"/>
          <w:vertAlign w:val="superscript"/>
          <w:rtl/>
          <w:lang w:bidi="fa-IR"/>
        </w:rPr>
        <w:t>1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bidi="fa-IR"/>
        </w:rPr>
        <w:t>*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4"/>
          <w:rtl/>
          <w:lang w:bidi="fa-IR"/>
        </w:rPr>
        <w:t>، مولف دوم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4"/>
          <w:vertAlign w:val="superscript"/>
          <w:rtl/>
          <w:lang w:bidi="fa-IR"/>
        </w:rPr>
        <w:t>2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4"/>
          <w:rtl/>
          <w:lang w:bidi="fa-IR"/>
        </w:rPr>
        <w:t xml:space="preserve">، ... (نویسنده مسئول با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bidi="fa-IR"/>
        </w:rPr>
        <w:t>*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4"/>
          <w:rtl/>
          <w:lang w:bidi="fa-IR"/>
        </w:rPr>
        <w:t xml:space="preserve"> مشخص شود، فونت </w:t>
      </w:r>
      <w:r>
        <w:rPr>
          <w:rFonts w:ascii="Times New Roman" w:eastAsia="Times New Roman" w:hAnsi="Times New Roman" w:cs="B Nazanin"/>
          <w:b/>
          <w:bCs/>
          <w:noProof/>
          <w:sz w:val="24"/>
          <w:szCs w:val="24"/>
          <w:lang w:bidi="fa-IR"/>
        </w:rPr>
        <w:t>B Nazanin 12pt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4"/>
          <w:rtl/>
          <w:lang w:bidi="fa-IR"/>
        </w:rPr>
        <w:t xml:space="preserve"> پررنگ)</w:t>
      </w:r>
    </w:p>
    <w:p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noProof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noProof/>
          <w:sz w:val="20"/>
          <w:szCs w:val="20"/>
          <w:rtl/>
          <w:lang w:bidi="fa-IR"/>
        </w:rPr>
        <w:t>1-</w:t>
      </w:r>
      <w:r>
        <w:rPr>
          <w:rFonts w:ascii="Times New Roman" w:eastAsia="Times New Roman" w:hAnsi="Times New Roman" w:cs="B Nazanin" w:hint="cs"/>
          <w:sz w:val="20"/>
          <w:szCs w:val="20"/>
          <w:rtl/>
          <w:lang w:val="en-GB"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sz w:val="20"/>
          <w:szCs w:val="20"/>
          <w:rtl/>
          <w:lang w:bidi="fa-IR"/>
        </w:rPr>
        <w:t>مرتبه علمی، تخصص اصلی، گروه آموزشی، دانشکده و دانشگاه / موسسه علمی - پژوهشی، (</w:t>
      </w:r>
      <w:r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>B Nazanin 10pt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0"/>
          <w:rtl/>
          <w:lang w:bidi="fa-IR"/>
        </w:rPr>
        <w:t xml:space="preserve"> ) - </w:t>
      </w:r>
      <w:r>
        <w:rPr>
          <w:rFonts w:ascii="Times New Roman" w:eastAsia="Times New Roman" w:hAnsi="Times New Roman" w:cs="B Nazanin" w:hint="cs"/>
          <w:noProof/>
          <w:sz w:val="20"/>
          <w:szCs w:val="20"/>
          <w:rtl/>
        </w:rPr>
        <w:t>آدرس پست الکترونيکي</w:t>
      </w:r>
      <w:r>
        <w:rPr>
          <w:rFonts w:ascii="Times New Roman" w:eastAsia="Times New Roman" w:hAnsi="Times New Roman" w:cs="B Nazanin" w:hint="cs"/>
          <w:noProof/>
          <w:sz w:val="20"/>
          <w:szCs w:val="20"/>
          <w:rtl/>
          <w:lang w:bidi="fa-IR"/>
        </w:rPr>
        <w:t xml:space="preserve"> </w:t>
      </w:r>
    </w:p>
    <w:p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noProof/>
          <w:sz w:val="20"/>
          <w:szCs w:val="20"/>
          <w:rtl/>
        </w:rPr>
      </w:pPr>
      <w:r>
        <w:rPr>
          <w:rFonts w:ascii="Times New Roman" w:eastAsia="Times New Roman" w:hAnsi="Times New Roman" w:cs="B Nazanin" w:hint="cs"/>
          <w:noProof/>
          <w:sz w:val="20"/>
          <w:szCs w:val="20"/>
          <w:rtl/>
          <w:lang w:bidi="fa-IR"/>
        </w:rPr>
        <w:t>2- مرتبه علمی، تخصص اصلی، گروه آموزشی، دانشکده و دانشگاه / موسسه علمی - پژوهشی، (</w:t>
      </w:r>
      <w:r>
        <w:rPr>
          <w:rFonts w:ascii="Times New Roman" w:eastAsia="Times New Roman" w:hAnsi="Times New Roman" w:cs="B Nazanin"/>
          <w:noProof/>
          <w:sz w:val="20"/>
          <w:szCs w:val="20"/>
          <w:lang w:bidi="fa-IR"/>
        </w:rPr>
        <w:t>B Nazanin 10pt</w:t>
      </w:r>
      <w:r>
        <w:rPr>
          <w:rFonts w:ascii="Times New Roman" w:eastAsia="Times New Roman" w:hAnsi="Times New Roman" w:cs="B Nazanin" w:hint="cs"/>
          <w:b/>
          <w:bCs/>
          <w:noProof/>
          <w:sz w:val="20"/>
          <w:szCs w:val="20"/>
          <w:rtl/>
          <w:lang w:bidi="fa-IR"/>
        </w:rPr>
        <w:t xml:space="preserve"> ) - </w:t>
      </w:r>
      <w:r>
        <w:rPr>
          <w:rFonts w:ascii="Times New Roman" w:eastAsia="Times New Roman" w:hAnsi="Times New Roman" w:cs="B Nazanin" w:hint="cs"/>
          <w:noProof/>
          <w:sz w:val="20"/>
          <w:szCs w:val="20"/>
          <w:rtl/>
        </w:rPr>
        <w:t>آدرس پست الکترونيکي</w:t>
      </w:r>
    </w:p>
    <w:p>
      <w:pPr>
        <w:bidi/>
        <w:spacing w:after="0" w:line="240" w:lineRule="auto"/>
        <w:contextualSpacing/>
        <w:jc w:val="center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.</w:t>
      </w:r>
    </w:p>
    <w:p>
      <w:pPr>
        <w:bidi/>
        <w:spacing w:after="0" w:line="240" w:lineRule="auto"/>
        <w:contextualSpacing/>
        <w:jc w:val="center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.</w:t>
      </w:r>
    </w:p>
    <w:p>
      <w:pPr>
        <w:bidi/>
        <w:spacing w:after="0" w:line="240" w:lineRule="auto"/>
        <w:contextualSpacing/>
        <w:jc w:val="center"/>
        <w:rPr>
          <w:rFonts w:ascii="Times New Roman" w:eastAsia="Times New Roman" w:hAnsi="Times New Roman" w:cs="B Nazani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</w:rPr>
        <w:t>.</w:t>
      </w:r>
    </w:p>
    <w:p>
      <w:pPr>
        <w:bidi/>
        <w:spacing w:before="100" w:beforeAutospacing="1" w:after="100" w:afterAutospacing="1" w:line="240" w:lineRule="auto"/>
        <w:rPr>
          <w:rFonts w:ascii="Arial" w:eastAsia="Times New Roman" w:hAnsi="Arial" w:cs="B Nazanin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t>چکیده مبسوط فارسی شامل ۸۰۰ الی ۱۰۰۰ کلمه</w:t>
      </w:r>
      <w:r>
        <w:rPr>
          <w:rFonts w:ascii="Arial" w:eastAsia="Times New Roman" w:hAnsi="Arial" w:cs="B Nazanin"/>
          <w:b/>
          <w:bCs/>
          <w:color w:val="222222"/>
          <w:sz w:val="24"/>
          <w:szCs w:val="24"/>
        </w:rPr>
        <w:t>:</w:t>
      </w:r>
    </w:p>
    <w:p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Arial" w:eastAsia="Times New Roman" w:hAnsi="Arial" w:cs="B Nazanin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t>مقدمه و هدف</w:t>
      </w:r>
    </w:p>
    <w:p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</w:pP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t>مواد و روش</w:t>
      </w: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softHyphen/>
        <w:t xml:space="preserve"> ها</w:t>
      </w:r>
    </w:p>
    <w:p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</w:pP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t xml:space="preserve">یافته </w:t>
      </w: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softHyphen/>
        <w:t>ها</w:t>
      </w:r>
    </w:p>
    <w:p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Arial" w:eastAsia="Times New Roman" w:hAnsi="Arial" w:cs="B Nazanin"/>
          <w:b/>
          <w:bCs/>
          <w:color w:val="222222"/>
          <w:sz w:val="24"/>
          <w:szCs w:val="24"/>
          <w:lang w:bidi="fa-IR"/>
        </w:rPr>
      </w:pP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t>نتیجه</w:t>
      </w: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softHyphen/>
        <w:t xml:space="preserve"> گیری</w:t>
      </w:r>
    </w:p>
    <w:p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</w:pP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t>واژه</w:t>
      </w:r>
      <w:r>
        <w:rPr>
          <w:rFonts w:ascii="Arial" w:eastAsia="Times New Roman" w:hAnsi="Arial" w:cs="B Nazanin"/>
          <w:b/>
          <w:bCs/>
          <w:color w:val="222222"/>
          <w:sz w:val="24"/>
          <w:szCs w:val="24"/>
          <w:rtl/>
          <w:lang w:bidi="fa-IR"/>
        </w:rPr>
        <w:softHyphen/>
        <w:t xml:space="preserve"> های کلیدی</w:t>
      </w:r>
    </w:p>
    <w:p>
      <w:pPr>
        <w:bidi/>
        <w:spacing w:before="100" w:beforeAutospacing="1" w:after="100" w:afterAutospacing="1" w:line="240" w:lineRule="auto"/>
        <w:ind w:left="567" w:right="567"/>
        <w:jc w:val="both"/>
        <w:rPr>
          <w:rFonts w:ascii="Times New Roman" w:eastAsia="Times New Roman" w:hAnsi="Times New Roman" w:cs="B Nazanin"/>
          <w:noProof/>
          <w:sz w:val="20"/>
          <w:rtl/>
        </w:rPr>
      </w:pPr>
      <w:r>
        <w:rPr>
          <w:rFonts w:ascii="Times New Roman" w:eastAsia="Times New Roman" w:hAnsi="Times New Roman" w:cs="B Nazanin"/>
          <w:b/>
          <w:bCs/>
          <w:noProof/>
          <w:szCs w:val="24"/>
          <w:rtl/>
          <w:lang w:bidi="fa-IR"/>
        </w:rPr>
        <w:t>مقدمه</w:t>
      </w:r>
      <w:r>
        <w:rPr>
          <w:rFonts w:ascii="Times New Roman" w:eastAsia="Times New Roman" w:hAnsi="Times New Roman" w:cs="B Nazanin" w:hint="cs"/>
          <w:b/>
          <w:bCs/>
          <w:noProof/>
          <w:szCs w:val="24"/>
          <w:rtl/>
          <w:lang w:bidi="fa-IR"/>
        </w:rPr>
        <w:t xml:space="preserve"> و هدف</w:t>
      </w:r>
      <w:r>
        <w:rPr>
          <w:rFonts w:ascii="Times New Roman" w:eastAsia="Times New Roman" w:hAnsi="Times New Roman" w:cs="B Nazanin" w:hint="cs"/>
          <w:b/>
          <w:bCs/>
          <w:noProof/>
          <w:szCs w:val="24"/>
          <w:rtl/>
        </w:rPr>
        <w:t xml:space="preserve"> 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b/>
          <w:bCs/>
          <w:i/>
          <w:iCs/>
          <w:noProof/>
          <w:rtl/>
          <w:lang w:bidi="fa-IR"/>
        </w:rPr>
      </w:pPr>
      <w:r>
        <w:rPr>
          <w:rFonts w:ascii="Times New Roman" w:eastAsia="Times New Roman" w:hAnsi="Times New Roman" w:cs="B Nazanin"/>
          <w:noProof/>
          <w:sz w:val="20"/>
          <w:rtl/>
          <w:lang w:bidi="fa-IR"/>
        </w:rPr>
        <w:t>بایستی شامل اطلاعات مربوط به سوابق کار، توجیه اهمیت تحقیق و هدف بررسی باشد. مقدمه دربرگیرنده بیان مسأله، معرفی و ضرورت تحقیق و اشاره به پژوهش</w:t>
      </w:r>
      <w:r>
        <w:rPr>
          <w:rFonts w:ascii="Times New Roman" w:eastAsia="Times New Roman" w:hAnsi="Times New Roman" w:cs="B Nazanin"/>
          <w:noProof/>
          <w:sz w:val="20"/>
          <w:rtl/>
          <w:lang w:bidi="fa-IR"/>
        </w:rPr>
        <w:softHyphen/>
        <w:t>های پیشین باشد و در آخر آن در یک جمله یا پاراگراف به هدف یا اهداف پژوهش انجام شده، اشاره شود</w:t>
      </w:r>
      <w:r>
        <w:rPr>
          <w:rFonts w:ascii="Times New Roman" w:eastAsia="Times New Roman" w:hAnsi="Times New Roman" w:cs="B Nazanin" w:hint="cs"/>
          <w:b/>
          <w:bCs/>
          <w:i/>
          <w:iCs/>
          <w:noProof/>
          <w:rtl/>
          <w:lang w:bidi="fa-IR"/>
        </w:rPr>
        <w:t>.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b/>
          <w:bCs/>
          <w:noProof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noProof/>
          <w:lang w:bidi="fa-IR"/>
        </w:rPr>
        <w:t> </w:t>
      </w:r>
      <w:r>
        <w:rPr>
          <w:rFonts w:ascii="Times New Roman" w:eastAsia="Times New Roman" w:hAnsi="Times New Roman" w:cs="B Nazanin"/>
          <w:b/>
          <w:bCs/>
          <w:noProof/>
          <w:rtl/>
          <w:lang w:bidi="fa-IR"/>
        </w:rPr>
        <w:t xml:space="preserve">مواد و روش </w:t>
      </w:r>
      <w:r>
        <w:rPr>
          <w:rFonts w:ascii="Times New Roman" w:eastAsia="Times New Roman" w:hAnsi="Times New Roman" w:cs="B Nazanin"/>
          <w:b/>
          <w:bCs/>
          <w:noProof/>
          <w:rtl/>
          <w:lang w:bidi="fa-IR"/>
        </w:rPr>
        <w:softHyphen/>
        <w:t>ها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b/>
          <w:bCs/>
          <w:noProof/>
          <w:rtl/>
          <w:lang w:bidi="fa-IR"/>
        </w:rPr>
      </w:pPr>
      <w:r>
        <w:rPr>
          <w:rFonts w:ascii="Times New Roman" w:eastAsia="Times New Roman" w:hAnsi="Times New Roman" w:cs="B Nazanin"/>
          <w:noProof/>
          <w:rtl/>
          <w:lang w:bidi="fa-IR"/>
        </w:rPr>
        <w:t>بایستی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طور مشخص و روشن بیان شود. اگر روش تحقیق از یک منبع گرفته شده فقط به ذکر مأخذ اکتفا شود. لازم است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.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به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صورت خلاصه به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شرح منطقه، محل و زمان اجراء، روش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نمونه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/>
          <w:noProof/>
          <w:rtl/>
          <w:lang w:bidi="fa-IR"/>
        </w:rPr>
        <w:t>گیری، مواد و وسایل به کار رفته، طرح آزمایش و روش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اندازه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/>
          <w:noProof/>
          <w:rtl/>
          <w:lang w:bidi="fa-IR"/>
        </w:rPr>
        <w:t>گیری و تجزیه و تحلیل آماری پرداخته شود</w:t>
      </w:r>
      <w:r>
        <w:rPr>
          <w:rFonts w:ascii="Times New Roman" w:eastAsia="Times New Roman" w:hAnsi="Times New Roman" w:cs="B Nazanin"/>
          <w:b/>
          <w:bCs/>
          <w:noProof/>
          <w:lang w:bidi="fa-IR"/>
        </w:rPr>
        <w:t>.</w:t>
      </w:r>
      <w:r>
        <w:rPr>
          <w:rFonts w:ascii="Times New Roman" w:eastAsia="Times New Roman" w:hAnsi="Times New Roman" w:cs="B Nazanin"/>
          <w:b/>
          <w:bCs/>
          <w:noProof/>
          <w:lang w:bidi="fa-IR"/>
        </w:rPr>
        <w:tab/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b/>
          <w:bCs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یافته</w:t>
      </w:r>
      <w:r>
        <w:rPr>
          <w:rFonts w:ascii="Times New Roman" w:eastAsia="Times New Roman" w:hAnsi="Times New Roman" w:cs="B Nazanin"/>
          <w:b/>
          <w:bCs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ها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/>
          <w:noProof/>
          <w:rtl/>
          <w:lang w:bidi="fa-IR"/>
        </w:rPr>
        <w:lastRenderedPageBreak/>
        <w:t xml:space="preserve">تمام نتایج کمَی و کیفی تحقیق با استناد به جداول، اشکال (نمودار، منحنی، تصویر یا عکس، نقشه) در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انتهای مقاله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ارائه شود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.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i/>
          <w:iCs/>
          <w:noProof/>
          <w:rtl/>
          <w:lang w:bidi="fa-IR"/>
        </w:rPr>
        <w:t>واژه‌هاي كليدي</w:t>
      </w: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: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حداقل 5 و حداكثر 6 واژه كه با </w:t>
      </w:r>
      <w:r>
        <w:rPr>
          <w:rFonts w:ascii="Times New Roman" w:eastAsia="Times New Roman" w:hAnsi="Times New Roman" w:cs="B Nazanin" w:hint="cs"/>
          <w:noProof/>
          <w:rtl/>
          <w:lang w:val="en-GB" w:bidi="fa-IR"/>
        </w:rPr>
        <w:t>ویرگول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جدا شده و بر اساس حروف الفبا در يك خط قرار گيرند.</w:t>
      </w:r>
      <w:r>
        <w:rPr>
          <w:rFonts w:ascii="Times New Roman" w:eastAsia="Times New Roman" w:hAnsi="Times New Roman" w:cs="B Nazanin"/>
          <w:noProof/>
          <w:sz w:val="18"/>
          <w:szCs w:val="18"/>
          <w:lang w:bidi="fa-IR"/>
        </w:rPr>
        <w:t>(B Nazanin 11pt)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b/>
          <w:bCs/>
          <w:noProof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noProof/>
          <w:rtl/>
          <w:lang w:bidi="fa-IR"/>
        </w:rPr>
        <w:t>شیوه نگارش</w:t>
      </w: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 xml:space="preserve"> چکیده مبسوط</w:t>
      </w:r>
      <w:r>
        <w:rPr>
          <w:rFonts w:ascii="Times New Roman" w:eastAsia="Times New Roman" w:hAnsi="Times New Roman" w:cs="B Nazanin"/>
          <w:b/>
          <w:bCs/>
          <w:noProof/>
          <w:rtl/>
          <w:lang w:bidi="fa-IR"/>
        </w:rPr>
        <w:t xml:space="preserve"> مقاله</w:t>
      </w:r>
      <w:r>
        <w:rPr>
          <w:rFonts w:ascii="Times New Roman" w:eastAsia="Times New Roman" w:hAnsi="Times New Roman" w:cs="B Nazanin"/>
          <w:b/>
          <w:bCs/>
          <w:noProof/>
          <w:rtl/>
          <w:lang w:bidi="fa-IR"/>
        </w:rPr>
        <w:tab/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b/>
          <w:bCs/>
          <w:noProof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noProof/>
          <w:lang w:bidi="fa-IR"/>
        </w:rPr>
        <w:br/>
      </w: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چکیده مبسوط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مقدمه و هدف: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noProof/>
          <w:rtl/>
          <w:lang w:bidi="fa-IR"/>
        </w:rPr>
        <w:t>گندم (</w:t>
      </w:r>
      <w:r>
        <w:rPr>
          <w:rFonts w:ascii="Times New Roman" w:eastAsia="Times New Roman" w:hAnsi="Times New Roman" w:cs="B Nazanin"/>
          <w:i/>
          <w:iCs/>
          <w:noProof/>
          <w:lang w:bidi="fa-IR"/>
        </w:rPr>
        <w:t>Triticum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/>
          <w:i/>
          <w:iCs/>
          <w:noProof/>
          <w:lang w:bidi="fa-IR"/>
        </w:rPr>
        <w:t>aestivum</w:t>
      </w:r>
      <w:r>
        <w:rPr>
          <w:rFonts w:ascii="Times New Roman" w:eastAsia="Times New Roman" w:hAnsi="Times New Roman" w:cs="B Nazanin"/>
          <w:noProof/>
          <w:lang w:bidi="fa-IR"/>
        </w:rPr>
        <w:t xml:space="preserve"> L.</w:t>
      </w:r>
      <w:r>
        <w:rPr>
          <w:rFonts w:ascii="Times New Roman" w:eastAsia="Times New Roman" w:hAnsi="Times New Roman" w:cs="B Nazanin"/>
          <w:noProof/>
          <w:rtl/>
          <w:lang w:bidi="fa-IR"/>
        </w:rPr>
        <w:t>) مهم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ترین گیاه زراعی و غذای اصلی سه چهارم جمیعت جهان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شمار می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‌</w:t>
      </w:r>
      <w:r>
        <w:rPr>
          <w:rFonts w:ascii="Times New Roman" w:eastAsia="Times New Roman" w:hAnsi="Times New Roman" w:cs="B Nazanin"/>
          <w:noProof/>
          <w:rtl/>
          <w:lang w:bidi="fa-IR"/>
        </w:rPr>
        <w:t>رود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.</w:t>
      </w:r>
      <w:r>
        <w:rPr>
          <w:rFonts w:ascii="Times New Roman" w:eastAsia="Times New Roman" w:hAnsi="Times New Roman" w:cs="B Nazanin" w:hint="cs"/>
          <w:noProof/>
          <w:rtl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لذا، بررسی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تنوع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ژنتیکی این گیاه استراتژیک،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نژادگران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را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در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شناسایی پتانسیل و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ظرفیت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ژنتیکی واقعی صفات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مرتبط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با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اهداف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نژادی از جمله عملکرد و اجزای عملکرد، کمک می‌نماید. آگاهی از اختلاف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بين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ژنوتیپ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های مختلف گندم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و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چگونگي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روابط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اين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تفاوت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با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عملكرد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بالقوه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آنها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در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بهبود و پیشرفت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عملكرد ارقام جدید</w:t>
      </w:r>
      <w:r>
        <w:rPr>
          <w:rFonts w:ascii="Times New Roman" w:eastAsia="Times New Roman" w:hAnsi="Times New Roman" w:cs="B Nazanin"/>
          <w:noProof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بسيار حیاتی است.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مواد و روش‌ها: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noProof/>
          <w:rtl/>
          <w:lang w:bidi="fa-IR"/>
        </w:rPr>
        <w:t>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منظور دستیابی به ژنوتیپ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گندم مطلوب، بررسی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تنوع ژنتیکی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عملکرد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اجزای عملکرد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و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اثر متقابل ژنوتیپ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در </w:t>
      </w:r>
      <w:r>
        <w:rPr>
          <w:rFonts w:ascii="Times New Roman" w:eastAsia="Times New Roman" w:hAnsi="Times New Roman" w:cs="B Nazanin"/>
          <w:noProof/>
          <w:rtl/>
          <w:lang w:bidi="fa-IR"/>
        </w:rPr>
        <w:t>صفت 21 لاین امیدبخش گندم از نظر 14 صفت مهم زراعی در قالب طرح بلوک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کامل تصادفی (</w:t>
      </w:r>
      <w:r>
        <w:rPr>
          <w:rFonts w:ascii="Times New Roman" w:eastAsia="Times New Roman" w:hAnsi="Times New Roman" w:cs="B Nazanin"/>
          <w:noProof/>
          <w:lang w:bidi="fa-IR"/>
        </w:rPr>
        <w:t>RCBD</w:t>
      </w:r>
      <w:r>
        <w:rPr>
          <w:rFonts w:ascii="Times New Roman" w:eastAsia="Times New Roman" w:hAnsi="Times New Roman" w:cs="B Nazanin"/>
          <w:noProof/>
          <w:rtl/>
          <w:lang w:bidi="fa-IR"/>
        </w:rPr>
        <w:t>) به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‌</w:t>
      </w:r>
      <w:r>
        <w:rPr>
          <w:rFonts w:ascii="Times New Roman" w:eastAsia="Times New Roman" w:hAnsi="Times New Roman" w:cs="B Nazanin"/>
          <w:noProof/>
          <w:rtl/>
          <w:lang w:bidi="fa-IR"/>
        </w:rPr>
        <w:t>همراه ارقام تجاری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مهم منطقه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(تیرگان و کلاته)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عنوان شاهد در سه تکرار در ایستگاه تحقیقات کشاورزی </w:t>
      </w:r>
      <w:r>
        <w:rPr>
          <w:rFonts w:ascii="Times New Roman" w:eastAsia="Times New Roman" w:hAnsi="Times New Roman" w:cs="B Nazanin"/>
          <w:noProof/>
          <w:rtl/>
        </w:rPr>
        <w:t xml:space="preserve">مركز تحقيقات و آموزش کشاورزی و منابع طبیعی استان اردبیل (مغان)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انجام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گرفت.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از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بین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روش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های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موجود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برای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ارزیابی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تنوع،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تحلیل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چند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متغیره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یکی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از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مهم</w:t>
      </w:r>
      <w:r>
        <w:rPr>
          <w:rFonts w:ascii="Times New Roman" w:eastAsia="Times New Roman" w:hAnsi="Times New Roman" w:cs="B Nazanin"/>
          <w:noProof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ترین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و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پرکاربردترین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روش</w:t>
      </w:r>
      <w:r>
        <w:rPr>
          <w:rFonts w:ascii="Times New Roman" w:eastAsia="Times New Roman" w:hAnsi="Times New Roman" w:cs="B Nazanin"/>
          <w:noProof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ها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می‌باشد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. 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یافته‌ها: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نتایج تجزیه واریانس در سطح احتمال 01/0 و 05/0 حاکی از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آ</w:t>
      </w:r>
      <w:r>
        <w:rPr>
          <w:rFonts w:ascii="Times New Roman" w:eastAsia="Times New Roman" w:hAnsi="Times New Roman" w:cs="B Nazanin"/>
          <w:noProof/>
          <w:rtl/>
          <w:lang w:bidi="fa-IR"/>
        </w:rPr>
        <w:t>ن بود که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گندم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مورد مطالعه از نظر تمام صفات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جز صفت تعداد دانه در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سنبله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دارای اختلاف معنی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داری با هم بودند. مقایسه میانگین انجام شده به روش دانکن نیز نشان داد که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های </w:t>
      </w:r>
      <w:r>
        <w:rPr>
          <w:rFonts w:ascii="Times New Roman" w:eastAsia="Times New Roman" w:hAnsi="Times New Roman" w:cs="B Nazanin"/>
          <w:noProof/>
          <w:lang w:bidi="fa-IR"/>
        </w:rPr>
        <w:t>G17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و </w:t>
      </w:r>
      <w:r>
        <w:rPr>
          <w:rFonts w:ascii="Times New Roman" w:eastAsia="Times New Roman" w:hAnsi="Times New Roman" w:cs="B Nazanin"/>
          <w:noProof/>
          <w:lang w:bidi="fa-IR"/>
        </w:rPr>
        <w:t>G15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از نظر تمامی صفات اندازه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گیری شده به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‌</w:t>
      </w:r>
      <w:r>
        <w:rPr>
          <w:rFonts w:ascii="Times New Roman" w:eastAsia="Times New Roman" w:hAnsi="Times New Roman" w:cs="B Nazanin"/>
          <w:noProof/>
          <w:rtl/>
          <w:lang w:bidi="fa-IR"/>
        </w:rPr>
        <w:t>عنوان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مطلوب انتخاب شدند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؛ درحالیکه </w:t>
      </w:r>
      <w:r>
        <w:rPr>
          <w:rFonts w:ascii="Times New Roman" w:eastAsia="Times New Roman" w:hAnsi="Times New Roman" w:cs="B Nazanin"/>
          <w:noProof/>
          <w:rtl/>
          <w:lang w:bidi="fa-IR"/>
        </w:rPr>
        <w:t>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های </w:t>
      </w:r>
      <w:r>
        <w:rPr>
          <w:rFonts w:ascii="Times New Roman" w:eastAsia="Times New Roman" w:hAnsi="Times New Roman" w:cs="B Nazanin"/>
          <w:noProof/>
          <w:lang w:bidi="fa-IR"/>
        </w:rPr>
        <w:t>G3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و </w:t>
      </w:r>
      <w:r>
        <w:rPr>
          <w:rFonts w:ascii="Times New Roman" w:eastAsia="Times New Roman" w:hAnsi="Times New Roman" w:cs="B Nazanin"/>
          <w:noProof/>
          <w:lang w:bidi="fa-IR"/>
        </w:rPr>
        <w:t>G19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در این تجزیه از کمترین رتبه برخوردار بودند. نتایج تجزیه همبستگی نیز حاکی از آن بود که صفت عملکرد دانه با تمام صفات مورد ارزیابی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جز صفات تعداد پنجه، طول پدانکل و تعداد دانه در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سنبله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همبستگی مثبت و معنی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داری داشت. براساس تجزیه به مولفه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اصلی صورت گرفته روی داده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آزمایش نیز 5 مولفه اول بیش از 75 درصد از واریانس داده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 را توجیه نمودند. براساس نمودار گروه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بندی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 از نظر مولفه اول و دوم،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 به چهار گروه، گروه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بندی شدند. براساس تجزیه گرافیکی انجام گرفته نمودار رتبه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بندی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ها،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امیدبخش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گندم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noProof/>
          <w:lang w:bidi="fa-IR"/>
        </w:rPr>
        <w:t>G15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و </w:t>
      </w:r>
      <w:r>
        <w:rPr>
          <w:rFonts w:ascii="Times New Roman" w:eastAsia="Times New Roman" w:hAnsi="Times New Roman" w:cs="B Nazanin"/>
          <w:noProof/>
          <w:lang w:bidi="fa-IR"/>
        </w:rPr>
        <w:t>G17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نسبت به سایر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ی مورد مطالعه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از عملکرد مطلوب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تری در صفات مورد ارزیابی برخوردار بودند و لاین </w:t>
      </w:r>
      <w:r>
        <w:rPr>
          <w:rFonts w:ascii="Times New Roman" w:eastAsia="Times New Roman" w:hAnsi="Times New Roman" w:cs="B Nazanin"/>
          <w:noProof/>
          <w:lang w:bidi="fa-IR"/>
        </w:rPr>
        <w:t>G4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از نظر پایداری در صفات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عنوان لاین پایدار انتخاب شد. نمودار چندوجهی نیز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های </w:t>
      </w:r>
      <w:r>
        <w:rPr>
          <w:rFonts w:ascii="Times New Roman" w:eastAsia="Times New Roman" w:hAnsi="Times New Roman" w:cs="B Nazanin"/>
          <w:noProof/>
          <w:lang w:bidi="fa-IR"/>
        </w:rPr>
        <w:t>G15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، </w:t>
      </w:r>
      <w:r>
        <w:rPr>
          <w:rFonts w:ascii="Times New Roman" w:eastAsia="Times New Roman" w:hAnsi="Times New Roman" w:cs="B Nazanin"/>
          <w:noProof/>
          <w:lang w:bidi="fa-IR"/>
        </w:rPr>
        <w:t>G17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، </w:t>
      </w:r>
      <w:r>
        <w:rPr>
          <w:rFonts w:ascii="Times New Roman" w:eastAsia="Times New Roman" w:hAnsi="Times New Roman" w:cs="B Nazanin"/>
          <w:noProof/>
          <w:lang w:bidi="fa-IR"/>
        </w:rPr>
        <w:t>G18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، </w:t>
      </w:r>
      <w:r>
        <w:rPr>
          <w:rFonts w:ascii="Times New Roman" w:eastAsia="Times New Roman" w:hAnsi="Times New Roman" w:cs="B Nazanin"/>
          <w:noProof/>
          <w:lang w:bidi="fa-IR"/>
        </w:rPr>
        <w:t>G23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، </w:t>
      </w:r>
      <w:r>
        <w:rPr>
          <w:rFonts w:ascii="Times New Roman" w:eastAsia="Times New Roman" w:hAnsi="Times New Roman" w:cs="B Nazanin"/>
          <w:noProof/>
          <w:lang w:bidi="fa-IR"/>
        </w:rPr>
        <w:t>G6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، </w:t>
      </w:r>
      <w:r>
        <w:rPr>
          <w:rFonts w:ascii="Times New Roman" w:eastAsia="Times New Roman" w:hAnsi="Times New Roman" w:cs="B Nazanin"/>
          <w:noProof/>
          <w:lang w:bidi="fa-IR"/>
        </w:rPr>
        <w:t>G10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و </w:t>
      </w:r>
      <w:r>
        <w:rPr>
          <w:rFonts w:ascii="Times New Roman" w:eastAsia="Times New Roman" w:hAnsi="Times New Roman" w:cs="B Nazanin"/>
          <w:noProof/>
          <w:lang w:bidi="fa-IR"/>
        </w:rPr>
        <w:t>G12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را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عنوان ژنوتیپ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 مطلوب شناسایی نمود و از نظر نمودار رتبه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بندی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ها براساس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ایده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آل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نیز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های </w:t>
      </w:r>
      <w:r>
        <w:rPr>
          <w:rFonts w:ascii="Times New Roman" w:eastAsia="Times New Roman" w:hAnsi="Times New Roman" w:cs="B Nazanin"/>
          <w:noProof/>
          <w:lang w:bidi="fa-IR"/>
        </w:rPr>
        <w:t>G15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و </w:t>
      </w:r>
      <w:r>
        <w:rPr>
          <w:rFonts w:ascii="Times New Roman" w:eastAsia="Times New Roman" w:hAnsi="Times New Roman" w:cs="B Nazanin"/>
          <w:noProof/>
          <w:lang w:bidi="fa-IR"/>
        </w:rPr>
        <w:t>G17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به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عنوان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 xml:space="preserve">های با رتبه برتر شناسایی شدند. 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نتیجه‌گیری: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noProof/>
          <w:rtl/>
          <w:lang w:bidi="fa-IR"/>
        </w:rPr>
        <w:t>از لاین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های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دارای پتانسیل بالای 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عملکرد و سایر صفات زراعی مطلوب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شناسایی شده در این تحقیق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می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  <w:t>توان در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ایجاد جمعیت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های برتر و سازگار </w:t>
      </w:r>
      <w:r>
        <w:rPr>
          <w:rFonts w:ascii="Times New Roman" w:eastAsia="Times New Roman" w:hAnsi="Times New Roman" w:cs="B Nazanin"/>
          <w:noProof/>
          <w:rtl/>
          <w:lang w:bidi="fa-IR"/>
        </w:rPr>
        <w:t>ب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ا خصوصیات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اقلیم گرم و مرطوب شمال کشور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 استفاده نمود.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rtl/>
          <w:lang w:bidi="fa-IR"/>
        </w:rPr>
        <w:t>واژه‌های کلیدی: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 تجزیه به مولفه</w:t>
      </w:r>
      <w:r>
        <w:rPr>
          <w:rFonts w:ascii="Times New Roman" w:eastAsia="Times New Roman" w:hAnsi="Times New Roman" w:cs="B Nazanin"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>های اصلی</w:t>
      </w:r>
      <w:r>
        <w:rPr>
          <w:rFonts w:ascii="Times New Roman" w:eastAsia="Times New Roman" w:hAnsi="Times New Roman" w:cs="B Nazanin"/>
          <w:noProof/>
          <w:rtl/>
          <w:lang w:bidi="fa-IR"/>
        </w:rPr>
        <w:t xml:space="preserve">، </w:t>
      </w:r>
      <w:r>
        <w:rPr>
          <w:rFonts w:ascii="Times New Roman" w:eastAsia="Times New Roman" w:hAnsi="Times New Roman" w:cs="B Nazanin" w:hint="cs"/>
          <w:noProof/>
          <w:rtl/>
          <w:lang w:bidi="fa-IR"/>
        </w:rPr>
        <w:t xml:space="preserve">تجزیه </w:t>
      </w:r>
      <w:r>
        <w:rPr>
          <w:rFonts w:ascii="Times New Roman" w:eastAsia="Times New Roman" w:hAnsi="Times New Roman" w:cs="B Nazanin"/>
          <w:noProof/>
          <w:rtl/>
          <w:lang w:bidi="fa-IR"/>
        </w:rPr>
        <w:t>همبستگی، تجزیه گرافیکی، عملکرد دانه</w:t>
      </w:r>
    </w:p>
    <w:p>
      <w:pPr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B Nazanin"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  <w:lang w:bidi="fa-IR"/>
        </w:rPr>
        <w:lastRenderedPageBreak/>
        <w:t>اشكال و جداول</w:t>
      </w:r>
    </w:p>
    <w:p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i/>
          <w:iCs/>
          <w:noProof/>
          <w:rtl/>
          <w:lang w:bidi="fa-IR"/>
        </w:rPr>
      </w:pPr>
      <w:r>
        <w:rPr>
          <w:rFonts w:ascii="Times New Roman" w:eastAsia="Times New Roman" w:hAnsi="Times New Roman" w:cs="B Nazanin" w:hint="cs"/>
          <w:i/>
          <w:iCs/>
          <w:noProof/>
          <w:rtl/>
          <w:lang w:bidi="fa-IR"/>
        </w:rPr>
        <w:t xml:space="preserve">شکل </w:t>
      </w:r>
      <w:r>
        <w:rPr>
          <w:rFonts w:ascii="Times New Roman" w:eastAsia="Times New Roman" w:hAnsi="Times New Roman" w:cs="B Nazanin"/>
          <w:i/>
          <w:iCs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i/>
          <w:iCs/>
          <w:noProof/>
          <w:rtl/>
          <w:lang w:bidi="fa-IR"/>
        </w:rPr>
        <w:t>ها و جدول</w:t>
      </w:r>
      <w:r>
        <w:rPr>
          <w:rFonts w:ascii="Times New Roman" w:eastAsia="Times New Roman" w:hAnsi="Times New Roman" w:cs="B Nazanin"/>
          <w:i/>
          <w:iCs/>
          <w:noProof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i/>
          <w:iCs/>
          <w:noProof/>
          <w:rtl/>
          <w:lang w:bidi="fa-IR"/>
        </w:rPr>
        <w:t>ها</w:t>
      </w:r>
    </w:p>
    <w:p>
      <w:pPr>
        <w:bidi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B Nazanin" w:hint="cs"/>
          <w:noProof/>
          <w:sz w:val="18"/>
          <w:szCs w:val="20"/>
          <w:rtl/>
          <w:lang w:bidi="fa-IR"/>
        </w:rPr>
      </w:pPr>
      <w:r>
        <w:rPr>
          <w:rFonts w:ascii="Times New Roman" w:eastAsia="Times New Roman" w:hAnsi="Times New Roman" w:cs="B Nazanin" w:hint="cs"/>
          <w:noProof/>
          <w:szCs w:val="24"/>
          <w:rtl/>
        </w:rPr>
        <w:t>همه شکل</w:t>
      </w:r>
      <w:r>
        <w:rPr>
          <w:rFonts w:ascii="Times New Roman" w:eastAsia="Times New Roman" w:hAnsi="Times New Roman" w:cs="B Nazanin"/>
          <w:noProof/>
          <w:szCs w:val="24"/>
          <w:rtl/>
        </w:rPr>
        <w:softHyphen/>
      </w:r>
      <w:r>
        <w:rPr>
          <w:rFonts w:ascii="Times New Roman" w:eastAsia="Times New Roman" w:hAnsi="Times New Roman" w:cs="B Nazanin" w:hint="cs"/>
          <w:noProof/>
          <w:szCs w:val="24"/>
          <w:rtl/>
        </w:rPr>
        <w:t>ها و جدول</w:t>
      </w:r>
      <w:r>
        <w:rPr>
          <w:rFonts w:ascii="Times New Roman" w:eastAsia="Times New Roman" w:hAnsi="Times New Roman" w:cs="B Nazanin"/>
          <w:noProof/>
          <w:szCs w:val="24"/>
          <w:rtl/>
        </w:rPr>
        <w:softHyphen/>
      </w:r>
      <w:r>
        <w:rPr>
          <w:rFonts w:ascii="Times New Roman" w:eastAsia="Times New Roman" w:hAnsi="Times New Roman" w:cs="B Nazanin" w:hint="cs"/>
          <w:noProof/>
          <w:szCs w:val="24"/>
          <w:rtl/>
        </w:rPr>
        <w:t>ها بايد در داخل متن مقاله و در نزديكترين جاي ممكن از اولين ذکر در متن به صورت وسط چین قرار گيرند. شکل‌ها بايد از وضوح کافي برخوردار بوده و اصطلاحا با کیفیت باشند. حروف، علائم و عناوين بايد به اندازه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softHyphen/>
        <w:t>اي انتخاب گردند که خوانا و قابل تفکيک باشند. اگر شكل به صورت نمودار مي‌باشد، ذكر عنوان دقیق هر محور و واحد مربوطه الزامي است. هر شکل و يا جدول داراي يک شماره ترتيبي مستقل است که حتما بايد در داخل متن به آن ارجاع داده شده باشد. همچنين هر شکل و جدول داراي عنوان مستقلي است که با فونت (</w:t>
      </w:r>
      <w:r>
        <w:rPr>
          <w:rFonts w:ascii="Times New Roman" w:eastAsia="Times New Roman" w:hAnsi="Times New Roman" w:cs="B Nazanin"/>
          <w:noProof/>
          <w:szCs w:val="24"/>
        </w:rPr>
        <w:t>B Nazanin 10pt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t xml:space="preserve"> پررنگ) در زير شکل و بالاي جدول نوشته مي‌شود. اگر شكل يا جدولي نتيجه تحقيق حاضر نبوده و از مرجع خاصي برداشت شده است، بايد شماره مرجع در انتهاي عنوان آن شكل يا جدول در داخل كروشه ذكر شود. به عنوان نمونه مي‌توان به جدول 1 و شکل 1 رجوع كرد:</w:t>
      </w:r>
      <w:bookmarkStart w:id="0" w:name="_GoBack"/>
      <w:bookmarkEnd w:id="0"/>
    </w:p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1536"/>
        <w:gridCol w:w="1532"/>
        <w:gridCol w:w="2763"/>
      </w:tblGrid>
      <w:tr>
        <w:trPr>
          <w:trHeight w:val="348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bidi/>
              <w:spacing w:before="100" w:beforeAutospacing="1" w:after="100" w:afterAutospacing="1" w:line="360" w:lineRule="auto"/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0"/>
                <w:szCs w:val="20"/>
                <w:rtl/>
                <w:lang w:bidi="ar-SA"/>
              </w:rPr>
              <w:t>جدول 1- اثر کاربرد انواع بیوچار بر طول ریشه، وزن خشک برگ و محتوای پروتئین ریشه گیاهچه اسپرس</w:t>
            </w:r>
          </w:p>
        </w:tc>
      </w:tr>
      <w:tr>
        <w:trPr>
          <w:trHeight w:val="348"/>
          <w:jc w:val="center"/>
        </w:trPr>
        <w:tc>
          <w:tcPr>
            <w:tcW w:w="1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left" w:pos="263"/>
              </w:tabs>
              <w:bidi/>
              <w:contextualSpacing/>
              <w:jc w:val="center"/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محتوای پروتئین ریشه </w:t>
            </w:r>
          </w:p>
          <w:p>
            <w:pPr>
              <w:bidi/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(میلی گرم بر گرم وزن تر بافت گیاهی)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bidi/>
              <w:contextualSpacing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وزن خشک برگ</w:t>
            </w:r>
          </w:p>
          <w:p>
            <w:pPr>
              <w:bidi/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(گرم)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>
            <w:pPr>
              <w:bidi/>
              <w:contextualSpacing/>
              <w:jc w:val="center"/>
              <w:rPr>
                <w:rFonts w:ascii="Times New Roman" w:eastAsia="Calibri" w:hAnsi="Times New Roman" w:cs="B Nazani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0"/>
                <w:szCs w:val="20"/>
                <w:rtl/>
              </w:rPr>
              <w:t>طول ریشه</w:t>
            </w:r>
          </w:p>
          <w:p>
            <w:pPr>
              <w:bidi/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(سانتی</w:t>
            </w:r>
            <w:r>
              <w:rPr>
                <w:rFonts w:ascii="Times New Roman" w:eastAsia="Calibri" w:hAnsi="Times New Roman" w:cs="B Nazanin"/>
                <w:sz w:val="20"/>
                <w:szCs w:val="20"/>
                <w:rtl/>
              </w:rPr>
              <w:softHyphen/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متر)</w:t>
            </w:r>
          </w:p>
        </w:tc>
        <w:tc>
          <w:tcPr>
            <w:tcW w:w="1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bidi/>
              <w:contextualSpacing/>
              <w:rPr>
                <w:rFonts w:ascii="Times New Roman" w:eastAsia="Calibri" w:hAnsi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0"/>
                <w:szCs w:val="20"/>
                <w:rtl/>
              </w:rPr>
              <w:t>کاربرد انواع بیوچار</w:t>
            </w:r>
          </w:p>
        </w:tc>
      </w:tr>
      <w:tr>
        <w:trPr>
          <w:trHeight w:val="329"/>
          <w:jc w:val="center"/>
        </w:trPr>
        <w:tc>
          <w:tcPr>
            <w:tcW w:w="1571" w:type="pct"/>
            <w:tcBorders>
              <w:top w:val="single" w:sz="4" w:space="0" w:color="auto"/>
            </w:tcBorders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color w:val="000000"/>
                <w:sz w:val="20"/>
                <w:szCs w:val="20"/>
                <w:rtl/>
              </w:rPr>
              <w:t>۱۷۶/۰</w:t>
            </w:r>
            <w:r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± 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۰۰۶/۰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b</w:t>
            </w:r>
          </w:p>
        </w:tc>
        <w:tc>
          <w:tcPr>
            <w:tcW w:w="903" w:type="pct"/>
            <w:tcBorders>
              <w:top w:val="single" w:sz="4" w:space="0" w:color="auto"/>
            </w:tcBorders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 xml:space="preserve">002/0 </w:t>
            </w:r>
            <w:r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±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 xml:space="preserve"> 053/0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c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</w:tcBorders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۳۶/۱۲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± 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۵۳۲/۰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b</w:t>
            </w:r>
          </w:p>
        </w:tc>
        <w:tc>
          <w:tcPr>
            <w:tcW w:w="1625" w:type="pct"/>
            <w:tcBorders>
              <w:top w:val="single" w:sz="4" w:space="0" w:color="auto"/>
            </w:tcBorders>
            <w:vAlign w:val="center"/>
          </w:tcPr>
          <w:p>
            <w:pPr>
              <w:bidi/>
              <w:contextualSpacing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شاهد (عدم کاربرد بیوچار)</w:t>
            </w:r>
          </w:p>
        </w:tc>
      </w:tr>
      <w:tr>
        <w:trPr>
          <w:trHeight w:val="329"/>
          <w:jc w:val="center"/>
        </w:trPr>
        <w:tc>
          <w:tcPr>
            <w:tcW w:w="1571" w:type="pct"/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color w:val="000000"/>
                <w:sz w:val="20"/>
                <w:szCs w:val="20"/>
                <w:rtl/>
              </w:rPr>
              <w:t>۱۴۴/۰</w:t>
            </w:r>
            <w:r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± 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۰۱۵/۰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c</w:t>
            </w:r>
          </w:p>
        </w:tc>
        <w:tc>
          <w:tcPr>
            <w:tcW w:w="903" w:type="pct"/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 xml:space="preserve">006/0 </w:t>
            </w:r>
            <w:r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±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 xml:space="preserve"> 085/0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a</w:t>
            </w:r>
          </w:p>
        </w:tc>
        <w:tc>
          <w:tcPr>
            <w:tcW w:w="901" w:type="pct"/>
            <w:tcBorders>
              <w:left w:val="nil"/>
            </w:tcBorders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۴۸/۱۵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± 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۶۷۲/۰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a</w:t>
            </w:r>
          </w:p>
        </w:tc>
        <w:tc>
          <w:tcPr>
            <w:tcW w:w="1625" w:type="pct"/>
            <w:vAlign w:val="center"/>
          </w:tcPr>
          <w:p>
            <w:pPr>
              <w:bidi/>
              <w:contextualSpacing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بیوچار حاصل از پوسته</w:t>
            </w:r>
            <w:r>
              <w:rPr>
                <w:rFonts w:ascii="Calibri" w:eastAsia="Calibri" w:hAnsi="Calibri" w:cs="B Nazanin"/>
                <w:sz w:val="20"/>
                <w:szCs w:val="20"/>
                <w:rtl/>
              </w:rPr>
              <w:softHyphen/>
            </w: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>ی بادام زمینی</w:t>
            </w:r>
          </w:p>
        </w:tc>
      </w:tr>
      <w:tr>
        <w:trPr>
          <w:trHeight w:val="329"/>
          <w:jc w:val="center"/>
        </w:trPr>
        <w:tc>
          <w:tcPr>
            <w:tcW w:w="1571" w:type="pct"/>
            <w:tcBorders>
              <w:bottom w:val="single" w:sz="4" w:space="0" w:color="auto"/>
            </w:tcBorders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color w:val="000000"/>
                <w:sz w:val="20"/>
                <w:szCs w:val="20"/>
                <w:rtl/>
              </w:rPr>
              <w:t>۲۳/۰</w:t>
            </w:r>
            <w:r>
              <w:rPr>
                <w:rFonts w:ascii="Times New Roman" w:eastAsia="Calibri" w:hAnsi="Times New Roman" w:cs="B Nazani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± 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۰۳/۰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a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 xml:space="preserve">002/0 </w:t>
            </w:r>
            <w:r>
              <w:rPr>
                <w:rFonts w:asciiTheme="majorBidi" w:eastAsia="Calibri" w:hAnsiTheme="majorBidi" w:cstheme="majorBidi"/>
                <w:sz w:val="20"/>
                <w:szCs w:val="20"/>
                <w:rtl/>
              </w:rPr>
              <w:t>±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 xml:space="preserve"> 069/0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b</w:t>
            </w:r>
          </w:p>
        </w:tc>
        <w:tc>
          <w:tcPr>
            <w:tcW w:w="901" w:type="pct"/>
            <w:tcBorders>
              <w:left w:val="nil"/>
              <w:bottom w:val="single" w:sz="4" w:space="0" w:color="auto"/>
            </w:tcBorders>
            <w:vAlign w:val="center"/>
          </w:tcPr>
          <w:p>
            <w:pPr>
              <w:contextualSpacing/>
              <w:jc w:val="center"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۸/۱۴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± </w:t>
            </w:r>
            <w:r>
              <w:rPr>
                <w:rFonts w:ascii="Times New Roman" w:eastAsia="Calibri" w:hAnsi="Times New Roman" w:cs="B Nazanin" w:hint="cs"/>
                <w:sz w:val="20"/>
                <w:szCs w:val="20"/>
                <w:rtl/>
              </w:rPr>
              <w:t>۵۳۶/۰</w:t>
            </w:r>
            <w:r>
              <w:rPr>
                <w:rFonts w:ascii="Times New Roman" w:eastAsia="Calibri" w:hAnsi="Times New Roman" w:cs="B Nazanin"/>
                <w:sz w:val="20"/>
                <w:szCs w:val="20"/>
              </w:rPr>
              <w:t xml:space="preserve"> a</w:t>
            </w:r>
          </w:p>
        </w:tc>
        <w:tc>
          <w:tcPr>
            <w:tcW w:w="1625" w:type="pct"/>
            <w:tcBorders>
              <w:bottom w:val="single" w:sz="4" w:space="0" w:color="auto"/>
            </w:tcBorders>
            <w:vAlign w:val="center"/>
          </w:tcPr>
          <w:p>
            <w:pPr>
              <w:bidi/>
              <w:contextualSpacing/>
              <w:rPr>
                <w:rFonts w:ascii="Times New Roman" w:eastAsia="Calibri" w:hAnsi="Times New Roman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بیوچار حاصل از </w:t>
            </w:r>
            <w:r>
              <w:rPr>
                <w:rFonts w:ascii="Times New Roman" w:eastAsia="Calibri" w:hAnsi="Times New Roman" w:cs="B Nazanin"/>
                <w:sz w:val="20"/>
                <w:szCs w:val="20"/>
                <w:rtl/>
              </w:rPr>
              <w:t>تفاله</w:t>
            </w:r>
            <w:r>
              <w:rPr>
                <w:rFonts w:ascii="Times New Roman" w:eastAsia="Calibri" w:hAnsi="Times New Roman" w:cs="B Nazanin"/>
                <w:sz w:val="20"/>
                <w:szCs w:val="20"/>
                <w:rtl/>
              </w:rPr>
              <w:softHyphen/>
              <w:t>ی هویج</w:t>
            </w:r>
          </w:p>
        </w:tc>
      </w:tr>
      <w:tr>
        <w:trPr>
          <w:trHeight w:val="32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>
            <w:pPr>
              <w:bidi/>
              <w:spacing w:before="120" w:after="100" w:afterAutospacing="1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در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هر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ستون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میانگین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softHyphen/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های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دارای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حروف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مشترک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تفاوت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معنی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softHyphen/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داری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در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سطح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احتمال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پنج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درصد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noProof/>
                <w:sz w:val="20"/>
                <w:szCs w:val="20"/>
                <w:rtl/>
              </w:rPr>
              <w:t>ندارند</w:t>
            </w:r>
            <w:r>
              <w:rPr>
                <w:rFonts w:ascii="Times New Roman" w:eastAsia="Times New Roman" w:hAnsi="Times New Roman" w:cs="B Nazanin"/>
                <w:noProof/>
                <w:sz w:val="20"/>
                <w:szCs w:val="20"/>
                <w:rtl/>
              </w:rPr>
              <w:t>.</w:t>
            </w:r>
          </w:p>
        </w:tc>
      </w:tr>
    </w:tbl>
    <w:p>
      <w:pPr>
        <w:jc w:val="center"/>
        <w:rPr>
          <w:rFonts w:ascii="Times New Roman" w:eastAsia="Calibri" w:hAnsi="Times New Roman" w:cs="B Lotus"/>
          <w:b/>
          <w:bCs/>
          <w:rtl/>
          <w:lang w:bidi="fa-IR"/>
        </w:rPr>
      </w:pPr>
      <w:r>
        <w:rPr>
          <w:rFonts w:ascii="Calibri" w:eastAsia="Calibri" w:hAnsi="Calibri" w:cs="Arial"/>
          <w:noProof/>
          <w:lang w:bidi="fa-IR"/>
        </w:rPr>
        <w:drawing>
          <wp:inline distT="0" distB="0" distL="0" distR="0">
            <wp:extent cx="4320000" cy="2520000"/>
            <wp:effectExtent l="0" t="0" r="4445" b="1397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شکل 1- اثر</w:t>
      </w:r>
      <w:r>
        <w:rPr>
          <w:rFonts w:ascii="Times New Roman" w:eastAsia="Calibri" w:hAnsi="Times New Roman" w:cs="B Nazanin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کاربرد انواع بیوچار و تلقیح با قارچ تریکودرما</w:t>
      </w:r>
      <w:r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بر</w:t>
      </w:r>
      <w:r>
        <w:rPr>
          <w:rFonts w:ascii="Times New Roman" w:eastAsia="Calibri" w:hAnsi="Times New Roman" w:cs="B Nazanin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محتوای قند محلول ریشه گیاهچه</w:t>
      </w:r>
      <w:r>
        <w:rPr>
          <w:rFonts w:ascii="Times New Roman" w:eastAsia="Calibri" w:hAnsi="Times New Roman" w:cs="B Nazanin"/>
          <w:b/>
          <w:bCs/>
          <w:sz w:val="20"/>
          <w:szCs w:val="20"/>
          <w:rtl/>
          <w:lang w:bidi="fa-IR"/>
        </w:rPr>
        <w:softHyphen/>
      </w: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 xml:space="preserve"> اسپرس</w:t>
      </w:r>
    </w:p>
    <w:p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(</w:t>
      </w:r>
      <w:r>
        <w:rPr>
          <w:rFonts w:ascii="Times New Roman" w:eastAsia="Calibri" w:hAnsi="Times New Roman" w:cs="B Nazanin"/>
          <w:b/>
          <w:bCs/>
          <w:sz w:val="20"/>
          <w:szCs w:val="20"/>
          <w:lang w:bidi="fa-IR"/>
        </w:rPr>
        <w:t>PHB</w:t>
      </w: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 xml:space="preserve">: بیوچار حاصل از پوسته بادام زمینی؛ </w:t>
      </w:r>
      <w:r>
        <w:rPr>
          <w:rFonts w:ascii="Times New Roman" w:eastAsia="Calibri" w:hAnsi="Times New Roman" w:cs="B Nazanin"/>
          <w:b/>
          <w:bCs/>
          <w:sz w:val="20"/>
          <w:szCs w:val="20"/>
          <w:lang w:bidi="fa-IR"/>
        </w:rPr>
        <w:t>CPB</w:t>
      </w:r>
      <w:r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: بیوچار حاصل از تفاله هویج)</w:t>
      </w:r>
    </w:p>
    <w:p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noProof/>
          <w:sz w:val="20"/>
          <w:rtl/>
        </w:rPr>
      </w:pPr>
    </w:p>
    <w:p>
      <w:pPr>
        <w:spacing w:before="100" w:beforeAutospacing="1" w:after="100" w:afterAutospacing="1" w:line="240" w:lineRule="auto"/>
        <w:jc w:val="center"/>
        <w:rPr>
          <w:rFonts w:ascii="Calibri" w:eastAsia="Calibri" w:hAnsi="Calibri" w:cs="Arial"/>
          <w:lang w:bidi="fa-IR"/>
        </w:rPr>
      </w:pPr>
      <w:r>
        <w:rPr>
          <w:rFonts w:ascii="Calibri" w:eastAsia="Calibri" w:hAnsi="Calibri" w:cs="Arial"/>
          <w:noProof/>
          <w:lang w:bidi="fa-IR"/>
        </w:rPr>
        <w:drawing>
          <wp:inline distT="0" distB="0" distL="0" distR="0">
            <wp:extent cx="1676400" cy="1806789"/>
            <wp:effectExtent l="0" t="0" r="0" b="3175"/>
            <wp:docPr id="1" name="Picture 1" descr="Phenom prox - Azaruniv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enom prox - Azaruniv00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52" cy="181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Arial"/>
          <w:noProof/>
          <w:lang w:bidi="fa-IR"/>
        </w:rPr>
        <w:drawing>
          <wp:inline distT="0" distB="0" distL="0" distR="0">
            <wp:extent cx="4081463" cy="1632585"/>
            <wp:effectExtent l="0" t="0" r="0" b="5715"/>
            <wp:docPr id="4" name="1. region (spectru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region (spectrum)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343" cy="163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0" w:line="240" w:lineRule="auto"/>
        <w:jc w:val="center"/>
        <w:rPr>
          <w:rFonts w:ascii="Simplified Arabic" w:eastAsia="Times New Roman" w:hAnsi="Simplified Arabic" w:cs="B Nazanin"/>
          <w:b/>
          <w:bCs/>
          <w:noProof/>
          <w:sz w:val="18"/>
          <w:szCs w:val="20"/>
          <w:rtl/>
          <w:lang w:bidi="fa-IR"/>
        </w:rPr>
      </w:pPr>
      <w:r>
        <w:rPr>
          <w:rFonts w:ascii="Simplified Arabic" w:eastAsia="Calibri" w:hAnsi="Simplified Arabic" w:cs="B Nazanin"/>
          <w:b/>
          <w:bCs/>
          <w:sz w:val="20"/>
          <w:szCs w:val="20"/>
          <w:rtl/>
          <w:lang w:bidi="fa-IR"/>
        </w:rPr>
        <w:t>شکل</w:t>
      </w:r>
      <w:r>
        <w:rPr>
          <w:rFonts w:ascii="Simplified Arabic" w:eastAsia="Calibri" w:hAnsi="Simplified Arabic" w:cs="B Nazanin" w:hint="cs"/>
          <w:b/>
          <w:bCs/>
          <w:sz w:val="20"/>
          <w:szCs w:val="20"/>
          <w:rtl/>
          <w:lang w:bidi="fa-IR"/>
        </w:rPr>
        <w:t xml:space="preserve"> 2- تصویر میکروسکوپ الکترونی روبشی نمونه بیوچار تهیه شده از پوسته بادام زمینی</w:t>
      </w:r>
    </w:p>
    <w:p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  <w:lang w:bidi="fa-IR"/>
        </w:rPr>
        <w:t>5- واحدها</w:t>
      </w:r>
    </w:p>
    <w:p>
      <w:pPr>
        <w:bidi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B Nazanin"/>
          <w:sz w:val="24"/>
          <w:szCs w:val="24"/>
          <w:rtl/>
          <w:lang w:val="en-GB"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سيستم واحدهاي استاندارد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SI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تنها سيستم قابل قبول طرح مسائل مي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 xml:space="preserve">باشد.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val="en-GB" w:bidi="fa-IR"/>
        </w:rPr>
        <w:t>توجه گردد که واحدها براي مقادير ذکر شده در جداول و يا عناوين محورها در اشکال فراموش نگردند.</w:t>
      </w:r>
    </w:p>
    <w:p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  <w:lang w:bidi="fa-IR"/>
        </w:rPr>
      </w:pPr>
      <w:bookmarkStart w:id="1" w:name="OLE_LINK1"/>
      <w:bookmarkStart w:id="2" w:name="OLE_LINK2"/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  <w:lang w:bidi="fa-IR"/>
        </w:rPr>
        <w:t>6- زیرنویس</w:t>
      </w:r>
    </w:p>
    <w:bookmarkEnd w:id="1"/>
    <w:bookmarkEnd w:id="2"/>
    <w:p>
      <w:pPr>
        <w:bidi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صورت نياز به استفاده از زيرنويس، از فونت </w:t>
      </w:r>
      <w:r>
        <w:rPr>
          <w:rFonts w:ascii="Times New Roman" w:eastAsia="Times New Roman" w:hAnsi="Times New Roman" w:cs="Times New Roman" w:hint="cs"/>
          <w:szCs w:val="24"/>
          <w:rtl/>
        </w:rPr>
        <w:t>(</w:t>
      </w:r>
      <w:r>
        <w:rPr>
          <w:rFonts w:ascii="Times New Roman" w:eastAsia="Times New Roman" w:hAnsi="Times New Roman" w:cs="Times New Roman"/>
          <w:szCs w:val="24"/>
        </w:rPr>
        <w:t xml:space="preserve">B </w:t>
      </w:r>
      <w:proofErr w:type="spellStart"/>
      <w:r>
        <w:rPr>
          <w:rFonts w:ascii="Times New Roman" w:eastAsia="Times New Roman" w:hAnsi="Times New Roman" w:cs="Times New Roman"/>
          <w:szCs w:val="24"/>
        </w:rPr>
        <w:t>Nazanin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10pt</w:t>
      </w:r>
      <w:r>
        <w:rPr>
          <w:rFonts w:ascii="Times New Roman" w:eastAsia="Times New Roman" w:hAnsi="Times New Roman" w:cs="Times New Roman" w:hint="cs"/>
          <w:szCs w:val="24"/>
          <w:rtl/>
        </w:rPr>
        <w:t>)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استفاده گردد.</w:t>
      </w:r>
    </w:p>
    <w:p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  <w:lang w:bidi="fa-IR"/>
        </w:rPr>
      </w:pPr>
      <w:bookmarkStart w:id="3" w:name="OLE_LINK15"/>
      <w:bookmarkStart w:id="4" w:name="OLE_LINK16"/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  <w:lang w:bidi="fa-IR"/>
        </w:rPr>
        <w:t>7- نتيجه‌گيري</w:t>
      </w:r>
    </w:p>
    <w:bookmarkEnd w:id="3"/>
    <w:bookmarkEnd w:id="4"/>
    <w:p>
      <w:pPr>
        <w:bidi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B Nazanin"/>
          <w:noProof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noProof/>
          <w:szCs w:val="24"/>
          <w:rtl/>
        </w:rPr>
        <w:t>هر مقاله بايد با ارائه خلاصه‌اي از تحقيق، به جمع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softHyphen/>
        <w:t>بندي نتايج ارائه شده در این بخش در انتهاي متن مقاله بپردازد. پيشنهادهاي احتمالي نيز در اين بخش ارائه مي‌شود.</w:t>
      </w:r>
    </w:p>
    <w:p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noProof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noProof/>
          <w:sz w:val="24"/>
          <w:szCs w:val="24"/>
          <w:rtl/>
          <w:lang w:bidi="fa-IR"/>
        </w:rPr>
        <w:lastRenderedPageBreak/>
        <w:t>فهرست منابع</w:t>
      </w:r>
    </w:p>
    <w:p>
      <w:pPr>
        <w:bidi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B Nazanin"/>
          <w:noProof/>
          <w:szCs w:val="24"/>
        </w:rPr>
      </w:pPr>
      <w:r>
        <w:rPr>
          <w:rFonts w:ascii="Times New Roman" w:eastAsia="Times New Roman" w:hAnsi="Times New Roman" w:cs="B Nazanin" w:hint="cs"/>
          <w:noProof/>
          <w:szCs w:val="24"/>
          <w:rtl/>
          <w:lang w:bidi="fa-IR"/>
        </w:rPr>
        <w:t>بخش فهرست منابع آخرين قسمت مقاله بوده كه به آن شماره عنوان اختصاص داده نمي‌شود. مراجع و مآخذ در اين قسمت به ترتيب حروف الفبا آورده مي‌شوند. اشاره به هر مرجع در داخل متن بر اساس سیستم نام - سال می</w:t>
      </w:r>
      <w:r>
        <w:rPr>
          <w:rFonts w:ascii="Times New Roman" w:eastAsia="Times New Roman" w:hAnsi="Times New Roman" w:cs="B Nazanin"/>
          <w:noProof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noProof/>
          <w:szCs w:val="24"/>
          <w:rtl/>
          <w:lang w:bidi="fa-IR"/>
        </w:rPr>
        <w:t xml:space="preserve">باشد. 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t xml:space="preserve">اندازه فونت مورد استفاده براي مراجع فارسي </w:t>
      </w:r>
      <w:bookmarkStart w:id="5" w:name="OLE_LINK21"/>
      <w:bookmarkStart w:id="6" w:name="OLE_LINK22"/>
      <w:r>
        <w:rPr>
          <w:rFonts w:ascii="Times New Roman" w:eastAsia="Times New Roman" w:hAnsi="Times New Roman" w:cs="B Nazanin" w:hint="cs"/>
          <w:noProof/>
          <w:szCs w:val="24"/>
          <w:rtl/>
        </w:rPr>
        <w:t>(</w:t>
      </w:r>
      <w:r>
        <w:rPr>
          <w:rFonts w:ascii="Times New Roman" w:eastAsia="Times New Roman" w:hAnsi="Times New Roman" w:cs="B Nazanin"/>
          <w:noProof/>
          <w:szCs w:val="24"/>
        </w:rPr>
        <w:t>B Nazanin 11pt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t xml:space="preserve">) </w:t>
      </w:r>
      <w:bookmarkEnd w:id="5"/>
      <w:bookmarkEnd w:id="6"/>
      <w:r>
        <w:rPr>
          <w:rFonts w:ascii="Times New Roman" w:eastAsia="Times New Roman" w:hAnsi="Times New Roman" w:cs="B Nazanin" w:hint="cs"/>
          <w:noProof/>
          <w:szCs w:val="24"/>
          <w:rtl/>
        </w:rPr>
        <w:t>و براي مراجع انگليسي مثل ساير قسمت‌هاي مقاله با يك اندازه كمتر (</w:t>
      </w:r>
      <w:r>
        <w:rPr>
          <w:rFonts w:ascii="Times New Roman" w:eastAsia="Times New Roman" w:hAnsi="Times New Roman" w:cs="B Nazanin"/>
          <w:noProof/>
          <w:szCs w:val="24"/>
        </w:rPr>
        <w:t>Times New Roman 10pt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t>) خواهد بود. بعد از ذكر مشخصات هر مرجع (</w:t>
      </w:r>
      <w:r>
        <w:rPr>
          <w:rFonts w:ascii="Times New Roman" w:eastAsia="Times New Roman" w:hAnsi="Times New Roman" w:cs="B Nazanin"/>
          <w:noProof/>
          <w:szCs w:val="24"/>
        </w:rPr>
        <w:t>6pt</w:t>
      </w:r>
      <w:r>
        <w:rPr>
          <w:rFonts w:ascii="Times New Roman" w:eastAsia="Times New Roman" w:hAnsi="Times New Roman" w:cs="B Nazanin" w:hint="cs"/>
          <w:noProof/>
          <w:szCs w:val="24"/>
          <w:rtl/>
          <w:lang w:bidi="fa-IR"/>
        </w:rPr>
        <w:t>) فاصله با مرجع بعدي الزامي است.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t xml:space="preserve"> مشخصات هر مرجع بايد به صورت كامل و استاندارد مطابق استایل </w:t>
      </w:r>
      <w:r>
        <w:rPr>
          <w:rFonts w:ascii="Times New Roman" w:eastAsia="Times New Roman" w:hAnsi="Times New Roman" w:cs="B Nazanin"/>
          <w:noProof/>
          <w:szCs w:val="24"/>
        </w:rPr>
        <w:t>APA sixth edition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noProof/>
          <w:szCs w:val="24"/>
          <w:rtl/>
          <w:lang w:bidi="fa-IR"/>
        </w:rPr>
        <w:t xml:space="preserve">(قابل دسترس در منوی </w:t>
      </w:r>
      <w:r>
        <w:rPr>
          <w:rFonts w:ascii="Times New Roman" w:eastAsia="Times New Roman" w:hAnsi="Times New Roman" w:cs="B Nazanin"/>
          <w:noProof/>
          <w:szCs w:val="24"/>
          <w:lang w:bidi="fa-IR"/>
        </w:rPr>
        <w:t>references</w:t>
      </w:r>
      <w:r>
        <w:rPr>
          <w:rFonts w:ascii="Times New Roman" w:eastAsia="Times New Roman" w:hAnsi="Times New Roman" w:cs="B Nazanin" w:hint="cs"/>
          <w:noProof/>
          <w:szCs w:val="24"/>
          <w:rtl/>
          <w:lang w:bidi="fa-IR"/>
        </w:rPr>
        <w:t xml:space="preserve"> در نرم افزار </w:t>
      </w:r>
      <w:r>
        <w:rPr>
          <w:rFonts w:ascii="Times New Roman" w:eastAsia="Times New Roman" w:hAnsi="Times New Roman" w:cs="B Nazanin"/>
          <w:noProof/>
          <w:szCs w:val="24"/>
          <w:lang w:bidi="fa-IR"/>
        </w:rPr>
        <w:t>word</w:t>
      </w:r>
      <w:r>
        <w:rPr>
          <w:rFonts w:ascii="Times New Roman" w:eastAsia="Times New Roman" w:hAnsi="Times New Roman" w:cs="B Nazanin" w:hint="cs"/>
          <w:noProof/>
          <w:szCs w:val="24"/>
          <w:rtl/>
          <w:lang w:bidi="fa-IR"/>
        </w:rPr>
        <w:t xml:space="preserve"> ورژن 2013) </w:t>
      </w:r>
      <w:r>
        <w:rPr>
          <w:rFonts w:ascii="Times New Roman" w:eastAsia="Times New Roman" w:hAnsi="Times New Roman" w:cs="B Nazanin" w:hint="cs"/>
          <w:noProof/>
          <w:szCs w:val="24"/>
          <w:rtl/>
        </w:rPr>
        <w:t>ارائه شود.</w:t>
      </w:r>
    </w:p>
    <w:p>
      <w:pPr>
        <w:bidi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B Nazanin"/>
          <w:noProof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noProof/>
          <w:szCs w:val="24"/>
          <w:rtl/>
          <w:lang w:bidi="fa-IR"/>
        </w:rPr>
        <w:t>به عنوان مثال:</w:t>
      </w:r>
    </w:p>
    <w:sdt>
      <w:sdtPr>
        <w:rPr>
          <w:rFonts w:cs="B Nazanin"/>
          <w:rtl/>
        </w:rPr>
        <w:id w:val="1066997941"/>
        <w:docPartObj>
          <w:docPartGallery w:val="Bibliographies"/>
          <w:docPartUnique/>
        </w:docPartObj>
      </w:sdtPr>
      <w:sdtEndPr>
        <w:rPr>
          <w:b/>
          <w:bCs/>
        </w:rPr>
      </w:sdtEndPr>
      <w:sdtContent>
        <w:p>
          <w:pPr>
            <w:pStyle w:val="Bibliography"/>
            <w:bidi/>
            <w:spacing w:before="100" w:beforeAutospacing="1" w:after="100" w:afterAutospacing="1" w:line="240" w:lineRule="auto"/>
            <w:ind w:left="284" w:hanging="284"/>
            <w:jc w:val="both"/>
            <w:rPr>
              <w:rFonts w:cs="B Nazanin"/>
              <w:noProof/>
              <w:sz w:val="24"/>
              <w:szCs w:val="24"/>
              <w:lang w:bidi="fa-IR"/>
            </w:rPr>
          </w:pPr>
          <w:r>
            <w:rPr>
              <w:rFonts w:cs="B Nazanin"/>
            </w:rPr>
            <w:fldChar w:fldCharType="begin"/>
          </w:r>
          <w:r>
            <w:rPr>
              <w:rFonts w:cs="B Nazanin"/>
            </w:rPr>
            <w:instrText xml:space="preserve"> BIBLIOGRAPHY </w:instrText>
          </w:r>
          <w:r>
            <w:rPr>
              <w:rFonts w:cs="B Nazanin"/>
            </w:rPr>
            <w:fldChar w:fldCharType="separate"/>
          </w:r>
          <w:r>
            <w:rPr>
              <w:rFonts w:cs="B Nazanin" w:hint="cs"/>
              <w:noProof/>
              <w:rtl/>
              <w:lang w:bidi="fa-IR"/>
            </w:rPr>
            <w:t xml:space="preserve">اصغری، م.، خماری، س.، و داوری، م. (1400). تاثیر کاربرد انواع بیوچار و قارچ تریکودرما بر رشد ریشه و فعالیت آنزیم کاتالاز گیاهچه اسپرس رشد یافته در خاک حاوی فلزات سنگین. </w:t>
          </w:r>
          <w:r>
            <w:rPr>
              <w:rFonts w:cs="B Nazanin" w:hint="cs"/>
              <w:i/>
              <w:iCs/>
              <w:noProof/>
              <w:rtl/>
              <w:lang w:bidi="fa-IR"/>
            </w:rPr>
            <w:t>هفدهمین کنگره ملی و سومین کنگره بین المللی علوم زراعت و اصلاح نباتات ایران</w:t>
          </w:r>
          <w:r>
            <w:rPr>
              <w:rFonts w:cs="B Nazanin" w:hint="cs"/>
              <w:noProof/>
              <w:rtl/>
              <w:lang w:bidi="fa-IR"/>
            </w:rPr>
            <w:t xml:space="preserve"> (ص. 5). کرمان: دانشگاه شهید باهنر کرمان. </w:t>
          </w:r>
          <w:r>
            <w:rPr>
              <w:rFonts w:asciiTheme="majorBidi" w:hAnsiTheme="majorBidi" w:cstheme="majorBidi"/>
              <w:noProof/>
              <w:sz w:val="20"/>
              <w:szCs w:val="20"/>
              <w:lang w:bidi="fa-IR"/>
            </w:rPr>
            <w:t>https://civilica.com/doc/1419028</w:t>
          </w:r>
        </w:p>
        <w:p>
          <w:pPr>
            <w:pStyle w:val="Bibliography"/>
            <w:bidi/>
            <w:spacing w:before="100" w:beforeAutospacing="1" w:after="100" w:afterAutospacing="1" w:line="240" w:lineRule="auto"/>
            <w:ind w:left="284" w:hanging="284"/>
            <w:jc w:val="both"/>
            <w:rPr>
              <w:rFonts w:cs="B Nazanin"/>
              <w:noProof/>
              <w:rtl/>
              <w:lang w:bidi="fa-IR"/>
            </w:rPr>
          </w:pPr>
          <w:r>
            <w:rPr>
              <w:rFonts w:cs="B Nazanin" w:hint="cs"/>
              <w:noProof/>
              <w:rtl/>
              <w:lang w:bidi="fa-IR"/>
            </w:rPr>
            <w:t>جوادی، ا.، خماری، س.، اسماعیل پور، ب.، و اصغری، ع. (1397). بررسی مقاومت به تنش شوری در بذرهای حاصل از بوته</w:t>
          </w:r>
          <w:r>
            <w:rPr>
              <w:rFonts w:cs="B Nazanin" w:hint="cs"/>
              <w:noProof/>
              <w:lang w:bidi="fa-IR"/>
            </w:rPr>
            <w:t>‌</w:t>
          </w:r>
          <w:r>
            <w:rPr>
              <w:rFonts w:cs="B Nazanin" w:hint="cs"/>
              <w:noProof/>
              <w:rtl/>
              <w:lang w:bidi="fa-IR"/>
            </w:rPr>
            <w:t xml:space="preserve">های گوجه فرنگی محلول پاشی شده با ۲۴- اپی براسینولید و نانواکسید روی. </w:t>
          </w:r>
          <w:r>
            <w:rPr>
              <w:rFonts w:cs="B Nazanin" w:hint="cs"/>
              <w:i/>
              <w:iCs/>
              <w:noProof/>
              <w:rtl/>
              <w:lang w:bidi="fa-IR"/>
            </w:rPr>
            <w:t>فرآیند و کارکرد گیاهی, 7</w:t>
          </w:r>
          <w:r>
            <w:rPr>
              <w:rFonts w:cs="B Nazanin" w:hint="cs"/>
              <w:noProof/>
              <w:rtl/>
              <w:lang w:bidi="fa-IR"/>
            </w:rPr>
            <w:t>(24), 103-120.</w:t>
          </w:r>
        </w:p>
        <w:p>
          <w:pPr>
            <w:pStyle w:val="Bibliography"/>
            <w:bidi/>
            <w:spacing w:before="100" w:beforeAutospacing="1" w:after="100" w:afterAutospacing="1" w:line="240" w:lineRule="auto"/>
            <w:ind w:left="284" w:hanging="284"/>
            <w:jc w:val="both"/>
            <w:rPr>
              <w:rtl/>
            </w:rPr>
          </w:pPr>
          <w:r>
            <w:rPr>
              <w:rFonts w:cs="B Nazanin" w:hint="cs"/>
              <w:noProof/>
              <w:rtl/>
              <w:lang w:bidi="fa-IR"/>
            </w:rPr>
            <w:t xml:space="preserve">سیدشریفی، ر.، و حکم علی پور، س. (1393). </w:t>
          </w:r>
          <w:r>
            <w:rPr>
              <w:rFonts w:cs="B Nazanin" w:hint="cs"/>
              <w:i/>
              <w:iCs/>
              <w:noProof/>
              <w:rtl/>
              <w:lang w:bidi="fa-IR"/>
            </w:rPr>
            <w:t>زراعت گیاهان علوفه ای.</w:t>
          </w:r>
          <w:r>
            <w:rPr>
              <w:rFonts w:cs="B Nazanin" w:hint="cs"/>
              <w:noProof/>
              <w:rtl/>
              <w:lang w:bidi="fa-IR"/>
            </w:rPr>
            <w:t xml:space="preserve"> اردبیل: انتشارات دانشگاه محقق اردبیلی.</w:t>
          </w:r>
          <w:r>
            <w:rPr>
              <w:rFonts w:cs="B Nazanin"/>
              <w:b/>
              <w:bCs/>
            </w:rPr>
            <w:fldChar w:fldCharType="end"/>
          </w:r>
        </w:p>
      </w:sdtContent>
    </w:sdt>
    <w:p>
      <w:p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t>DOE, (2022, June 10). </w:t>
      </w:r>
      <w:r>
        <w:rPr>
          <w:rFonts w:ascii="Times New Roman" w:eastAsia="Calibri" w:hAnsi="Times New Roman" w:cs="Times New Roman"/>
          <w:i/>
          <w:iCs/>
          <w:noProof/>
          <w:sz w:val="20"/>
          <w:szCs w:val="20"/>
        </w:rPr>
        <w:t>Permissible limits of soil pollution and pollutants entering it (According to the soil protection law)</w:t>
      </w:r>
      <w:r>
        <w:rPr>
          <w:rFonts w:ascii="Times New Roman" w:eastAsia="Calibri" w:hAnsi="Times New Roman" w:cs="Times New Roman"/>
          <w:noProof/>
          <w:sz w:val="20"/>
          <w:szCs w:val="20"/>
        </w:rPr>
        <w:t>. Organizational standards. Retrieved July 30, 2020, from https://wsm.doe.ir/portal/home/?673823</w:t>
      </w:r>
    </w:p>
    <w:p>
      <w:pPr>
        <w:spacing w:before="120" w:after="120" w:line="240" w:lineRule="auto"/>
        <w:ind w:left="284" w:hanging="284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Friedlova, M. (2010). The influence of heavy metals on soil biological and chemical properties. </w:t>
      </w:r>
      <w:r>
        <w:rPr>
          <w:rFonts w:ascii="Times New Roman" w:eastAsia="Calibri" w:hAnsi="Times New Roman" w:cs="Times New Roman"/>
          <w:i/>
          <w:iCs/>
          <w:noProof/>
          <w:sz w:val="20"/>
          <w:szCs w:val="20"/>
        </w:rPr>
        <w:t>Soil and Water Research, 5</w:t>
      </w:r>
      <w:r>
        <w:rPr>
          <w:rFonts w:ascii="Times New Roman" w:eastAsia="Calibri" w:hAnsi="Times New Roman" w:cs="Times New Roman"/>
          <w:noProof/>
          <w:sz w:val="20"/>
          <w:szCs w:val="20"/>
        </w:rPr>
        <w:t>(1), 21-27. doi:10.17221/11/2009-SWR</w:t>
      </w:r>
    </w:p>
    <w:p>
      <w:pPr>
        <w:spacing w:before="120" w:after="120" w:line="240" w:lineRule="auto"/>
        <w:ind w:left="284" w:hanging="284"/>
        <w:jc w:val="both"/>
        <w:rPr>
          <w:rFonts w:asciiTheme="majorBidi" w:eastAsia="Calibri" w:hAnsiTheme="majorBidi" w:cstheme="majorBidi"/>
          <w:sz w:val="20"/>
          <w:szCs w:val="20"/>
          <w:lang w:bidi="fa-IR"/>
        </w:rPr>
      </w:pPr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Ghosh, P., and Das, S. P. (2022). Unraveling a dynamic ameliorant of heavy metal-polluted soil: </w:t>
      </w:r>
      <w:proofErr w:type="spellStart"/>
      <w:r>
        <w:rPr>
          <w:rFonts w:asciiTheme="majorBidi" w:eastAsia="Calibri" w:hAnsiTheme="majorBidi" w:cstheme="majorBidi"/>
          <w:sz w:val="20"/>
          <w:szCs w:val="20"/>
          <w:lang w:bidi="fa-IR"/>
        </w:rPr>
        <w:t>Biochar</w:t>
      </w:r>
      <w:proofErr w:type="spellEnd"/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. In R. T. Kapoor, &amp; M. P. Shah, </w:t>
      </w:r>
      <w:proofErr w:type="spellStart"/>
      <w:r>
        <w:rPr>
          <w:rFonts w:asciiTheme="majorBidi" w:eastAsia="Calibri" w:hAnsiTheme="majorBidi" w:cstheme="majorBidi"/>
          <w:i/>
          <w:iCs/>
          <w:sz w:val="20"/>
          <w:szCs w:val="20"/>
          <w:lang w:bidi="fa-IR"/>
        </w:rPr>
        <w:t>Biochar</w:t>
      </w:r>
      <w:proofErr w:type="spellEnd"/>
      <w:r>
        <w:rPr>
          <w:rFonts w:asciiTheme="majorBidi" w:eastAsia="Calibri" w:hAnsiTheme="majorBidi" w:cstheme="majorBidi"/>
          <w:i/>
          <w:iCs/>
          <w:sz w:val="20"/>
          <w:szCs w:val="20"/>
          <w:lang w:bidi="fa-IR"/>
        </w:rPr>
        <w:t>: Applications for bioremediation of contaminated systems</w:t>
      </w:r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(pp. 163-184). Berlin: Walter de </w:t>
      </w:r>
      <w:proofErr w:type="spellStart"/>
      <w:r>
        <w:rPr>
          <w:rFonts w:asciiTheme="majorBidi" w:eastAsia="Calibri" w:hAnsiTheme="majorBidi" w:cstheme="majorBidi"/>
          <w:sz w:val="20"/>
          <w:szCs w:val="20"/>
          <w:lang w:bidi="fa-IR"/>
        </w:rPr>
        <w:t>Gruyter</w:t>
      </w:r>
      <w:proofErr w:type="spellEnd"/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GmbH &amp; Co KG.</w:t>
      </w:r>
    </w:p>
    <w:p>
      <w:pPr>
        <w:spacing w:before="120" w:after="120" w:line="240" w:lineRule="auto"/>
        <w:ind w:left="284" w:hanging="284"/>
        <w:jc w:val="both"/>
        <w:rPr>
          <w:rFonts w:asciiTheme="majorBidi" w:eastAsia="Calibri" w:hAnsiTheme="majorBidi" w:cstheme="majorBidi"/>
          <w:sz w:val="20"/>
          <w:szCs w:val="20"/>
          <w:lang w:bidi="fa-IR"/>
        </w:rPr>
      </w:pPr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Gonzaga, M., de Jesus Santos, J., </w:t>
      </w:r>
      <w:proofErr w:type="spellStart"/>
      <w:r>
        <w:rPr>
          <w:rFonts w:asciiTheme="majorBidi" w:eastAsia="Calibri" w:hAnsiTheme="majorBidi" w:cstheme="majorBidi"/>
          <w:sz w:val="20"/>
          <w:szCs w:val="20"/>
          <w:lang w:bidi="fa-IR"/>
        </w:rPr>
        <w:t>Ganassali</w:t>
      </w:r>
      <w:proofErr w:type="spellEnd"/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Junior, L., </w:t>
      </w:r>
      <w:proofErr w:type="spellStart"/>
      <w:r>
        <w:rPr>
          <w:rFonts w:asciiTheme="majorBidi" w:eastAsia="Calibri" w:hAnsiTheme="majorBidi" w:cstheme="majorBidi"/>
          <w:sz w:val="20"/>
          <w:szCs w:val="20"/>
          <w:lang w:bidi="fa-IR"/>
        </w:rPr>
        <w:t>Fontes</w:t>
      </w:r>
      <w:proofErr w:type="spellEnd"/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, P., and Gonzaga, T. (2022). Copper uptake, physiological response, and phytoremediation potential of </w:t>
      </w:r>
      <w:r>
        <w:rPr>
          <w:rFonts w:asciiTheme="majorBidi" w:eastAsia="Calibri" w:hAnsiTheme="majorBidi" w:cstheme="majorBidi"/>
          <w:i/>
          <w:iCs/>
          <w:sz w:val="20"/>
          <w:szCs w:val="20"/>
          <w:lang w:bidi="fa-IR"/>
        </w:rPr>
        <w:t xml:space="preserve">Brassica </w:t>
      </w:r>
      <w:proofErr w:type="spellStart"/>
      <w:r>
        <w:rPr>
          <w:rFonts w:asciiTheme="majorBidi" w:eastAsia="Calibri" w:hAnsiTheme="majorBidi" w:cstheme="majorBidi"/>
          <w:i/>
          <w:iCs/>
          <w:sz w:val="20"/>
          <w:szCs w:val="20"/>
          <w:lang w:bidi="fa-IR"/>
        </w:rPr>
        <w:t>juncea</w:t>
      </w:r>
      <w:proofErr w:type="spellEnd"/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under </w:t>
      </w:r>
      <w:proofErr w:type="spellStart"/>
      <w:r>
        <w:rPr>
          <w:rFonts w:asciiTheme="majorBidi" w:eastAsia="Calibri" w:hAnsiTheme="majorBidi" w:cstheme="majorBidi"/>
          <w:sz w:val="20"/>
          <w:szCs w:val="20"/>
          <w:lang w:bidi="fa-IR"/>
        </w:rPr>
        <w:t>biochar</w:t>
      </w:r>
      <w:proofErr w:type="spellEnd"/>
      <w:r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application. </w:t>
      </w:r>
      <w:r>
        <w:rPr>
          <w:rFonts w:asciiTheme="majorBidi" w:eastAsia="Calibri" w:hAnsiTheme="majorBidi" w:cstheme="majorBidi"/>
          <w:i/>
          <w:iCs/>
          <w:sz w:val="20"/>
          <w:szCs w:val="20"/>
          <w:lang w:bidi="fa-IR"/>
        </w:rPr>
        <w:t>International Journal of Phytoremediation, 24</w:t>
      </w:r>
      <w:r>
        <w:rPr>
          <w:rFonts w:asciiTheme="majorBidi" w:eastAsia="Calibri" w:hAnsiTheme="majorBidi" w:cstheme="majorBidi"/>
          <w:sz w:val="20"/>
          <w:szCs w:val="20"/>
          <w:lang w:bidi="fa-IR"/>
        </w:rPr>
        <w:t>(5), 474-482. doi:10.1080/15226514.2021.1954875</w:t>
      </w:r>
    </w:p>
    <w:p>
      <w:pPr>
        <w:rPr>
          <w:rtl/>
        </w:rPr>
      </w:pPr>
    </w:p>
    <w:sectPr>
      <w:headerReference w:type="default" r:id="rId11"/>
      <w:pgSz w:w="11906" w:h="16838"/>
      <w:pgMar w:top="1794" w:right="1985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rPr>
        <w:noProof/>
        <w:lang w:bidi="fa-I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2375" cy="1895475"/>
          <wp:effectExtent l="0" t="0" r="9525" b="9525"/>
          <wp:wrapThrough wrapText="bothSides">
            <wp:wrapPolygon edited="0">
              <wp:start x="0" y="0"/>
              <wp:lineTo x="0" y="21491"/>
              <wp:lineTo x="21573" y="21491"/>
              <wp:lineTo x="21573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1ADA"/>
    <w:multiLevelType w:val="multilevel"/>
    <w:tmpl w:val="C1A6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860D2"/>
    <w:multiLevelType w:val="hybridMultilevel"/>
    <w:tmpl w:val="2374933A"/>
    <w:lvl w:ilvl="0" w:tplc="DCDA2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B58E0"/>
    <w:multiLevelType w:val="hybridMultilevel"/>
    <w:tmpl w:val="C3063F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83E21"/>
    <w:multiLevelType w:val="hybridMultilevel"/>
    <w:tmpl w:val="866668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41110"/>
    <w:multiLevelType w:val="multilevel"/>
    <w:tmpl w:val="762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5A71F9F-C394-794F-953A-C181BF50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Pr>
      <w:kern w:val="0"/>
      <w:sz w:val="22"/>
      <w:szCs w:val="22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947226816083727"/>
          <c:y val="2.7910687071374143E-2"/>
          <c:w val="0.75165842767375668"/>
          <c:h val="0.85380881699263378"/>
        </c:manualLayout>
      </c:layout>
      <c:barChart>
        <c:barDir val="col"/>
        <c:grouping val="clustered"/>
        <c:varyColors val="0"/>
        <c:ser>
          <c:idx val="0"/>
          <c:order val="0"/>
          <c:tx>
            <c:v>Non-inoculated</c:v>
          </c:tx>
          <c:spPr>
            <a:solidFill>
              <a:schemeClr val="bg1"/>
            </a:solidFill>
            <a:ln w="9525" cap="flat" cmpd="sng" algn="ctr">
              <a:solidFill>
                <a:schemeClr val="tx1"/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1.0936132982103945E-7"/>
                  <c:y val="-6.9444444444444444E-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d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a-I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7236001749781275E-2"/>
                      <c:h val="7.863444152814230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4D50-074C-9DCC-017D53CF87A1}"/>
                </c:ext>
              </c:extLst>
            </c:dLbl>
            <c:dLbl>
              <c:idx val="1"/>
              <c:layout>
                <c:manualLayout>
                  <c:x val="0"/>
                  <c:y val="-6.499572866175073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a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a-I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8638920134983127E-2"/>
                      <c:h val="0.1028109926875641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D50-074C-9DCC-017D53CF87A1}"/>
                </c:ext>
              </c:extLst>
            </c:dLbl>
            <c:dLbl>
              <c:idx val="2"/>
              <c:layout>
                <c:manualLayout>
                  <c:x val="2.9398794649419372E-3"/>
                  <c:y val="-1.054657734315468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b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a-I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157859952938784E-2"/>
                      <c:h val="0.1255730886461773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4D50-074C-9DCC-017D53CF87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a-I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/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Sheet9!$N$6:$P$6</c:f>
                <c:numCache>
                  <c:formatCode>General</c:formatCode>
                  <c:ptCount val="3"/>
                  <c:pt idx="0">
                    <c:v>0.16756399999999999</c:v>
                  </c:pt>
                  <c:pt idx="1">
                    <c:v>0.3464102</c:v>
                  </c:pt>
                  <c:pt idx="2">
                    <c:v>0.35156791662493686</c:v>
                  </c:pt>
                </c:numCache>
              </c:numRef>
            </c:plus>
            <c:minus>
              <c:numRef>
                <c:f>Sheet9!$N$6:$P$6</c:f>
                <c:numCache>
                  <c:formatCode>General</c:formatCode>
                  <c:ptCount val="3"/>
                  <c:pt idx="0">
                    <c:v>0.16756399999999999</c:v>
                  </c:pt>
                  <c:pt idx="1">
                    <c:v>0.3464102</c:v>
                  </c:pt>
                  <c:pt idx="2">
                    <c:v>0.35156791662493686</c:v>
                  </c:pt>
                </c:numCache>
              </c:numRef>
            </c:minus>
            <c:spPr>
              <a:noFill/>
              <a:ln w="9525">
                <a:solidFill>
                  <a:schemeClr val="tx1"/>
                </a:solidFill>
              </a:ln>
              <a:effectLst/>
            </c:spPr>
          </c:errBars>
          <c:cat>
            <c:strRef>
              <c:f>Sheet9!$Q$22:$S$22</c:f>
              <c:strCache>
                <c:ptCount val="3"/>
                <c:pt idx="0">
                  <c:v>non-biochar</c:v>
                </c:pt>
                <c:pt idx="1">
                  <c:v>PHB</c:v>
                </c:pt>
                <c:pt idx="2">
                  <c:v>CPB</c:v>
                </c:pt>
              </c:strCache>
            </c:strRef>
          </c:cat>
          <c:val>
            <c:numRef>
              <c:f>Sheet9!$G$6:$I$6</c:f>
              <c:numCache>
                <c:formatCode>General</c:formatCode>
                <c:ptCount val="3"/>
                <c:pt idx="0">
                  <c:v>2.4300000000000002</c:v>
                </c:pt>
                <c:pt idx="1">
                  <c:v>6.16</c:v>
                </c:pt>
                <c:pt idx="2">
                  <c:v>4.55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50-074C-9DCC-017D53CF87A1}"/>
            </c:ext>
          </c:extLst>
        </c:ser>
        <c:ser>
          <c:idx val="1"/>
          <c:order val="1"/>
          <c:tx>
            <c:v>Inoculated</c:v>
          </c:tx>
          <c:spPr>
            <a:solidFill>
              <a:schemeClr val="bg1">
                <a:lumMod val="65000"/>
              </a:schemeClr>
            </a:solidFill>
            <a:ln w="9525" cap="flat" cmpd="sng" algn="ctr">
              <a:solidFill>
                <a:schemeClr val="tx1"/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1.4699397324709148E-3"/>
                  <c:y val="-0.1093474171323342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ab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a-I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106921332760787E-2"/>
                      <c:h val="0.1269875539751079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4D50-074C-9DCC-017D53CF87A1}"/>
                </c:ext>
              </c:extLst>
            </c:dLbl>
            <c:dLbl>
              <c:idx val="1"/>
              <c:layout>
                <c:manualLayout>
                  <c:x val="1.1574328602133612E-7"/>
                  <c:y val="-1.816381445262895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b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a-I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083328067137678E-2"/>
                      <c:h val="0.116313656622477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D50-074C-9DCC-017D53CF87A1}"/>
                </c:ext>
              </c:extLst>
            </c:dLbl>
            <c:dLbl>
              <c:idx val="2"/>
              <c:layout>
                <c:manualLayout>
                  <c:x val="-1.4699397324708608E-3"/>
                  <c:y val="2.390025717551430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c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a-I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504913881208037E-2"/>
                      <c:h val="9.416592583185166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4D50-074C-9DCC-017D53CF87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a-I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/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Sheet9!$N$7:$P$7</c:f>
                <c:numCache>
                  <c:formatCode>General</c:formatCode>
                  <c:ptCount val="3"/>
                  <c:pt idx="0">
                    <c:v>1.2075503210126597</c:v>
                  </c:pt>
                  <c:pt idx="1">
                    <c:v>0.55824128594482503</c:v>
                  </c:pt>
                  <c:pt idx="2">
                    <c:v>5.0332229568471561E-2</c:v>
                  </c:pt>
                </c:numCache>
              </c:numRef>
            </c:plus>
            <c:minus>
              <c:numRef>
                <c:f>Sheet9!$N$7:$P$7</c:f>
                <c:numCache>
                  <c:formatCode>General</c:formatCode>
                  <c:ptCount val="3"/>
                  <c:pt idx="0">
                    <c:v>1.2075503210126597</c:v>
                  </c:pt>
                  <c:pt idx="1">
                    <c:v>0.55824128594482503</c:v>
                  </c:pt>
                  <c:pt idx="2">
                    <c:v>5.0332229568471561E-2</c:v>
                  </c:pt>
                </c:numCache>
              </c:numRef>
            </c:minus>
            <c:spPr>
              <a:noFill/>
              <a:ln w="9525">
                <a:solidFill>
                  <a:schemeClr val="tx1"/>
                </a:solidFill>
              </a:ln>
              <a:effectLst/>
            </c:spPr>
          </c:errBars>
          <c:cat>
            <c:strRef>
              <c:f>Sheet9!$Q$22:$S$22</c:f>
              <c:strCache>
                <c:ptCount val="3"/>
                <c:pt idx="0">
                  <c:v>non-biochar</c:v>
                </c:pt>
                <c:pt idx="1">
                  <c:v>PHB</c:v>
                </c:pt>
                <c:pt idx="2">
                  <c:v>CPB</c:v>
                </c:pt>
              </c:strCache>
            </c:strRef>
          </c:cat>
          <c:val>
            <c:numRef>
              <c:f>Sheet9!$G$7:$I$7</c:f>
              <c:numCache>
                <c:formatCode>General</c:formatCode>
                <c:ptCount val="3"/>
                <c:pt idx="0">
                  <c:v>4.8600000000000003</c:v>
                </c:pt>
                <c:pt idx="1">
                  <c:v>4.28</c:v>
                </c:pt>
                <c:pt idx="2">
                  <c:v>3.49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D50-074C-9DCC-017D53CF87A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1502640176"/>
        <c:axId val="-1502638000"/>
      </c:barChart>
      <c:catAx>
        <c:axId val="-150264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-1502638000"/>
        <c:crosses val="autoZero"/>
        <c:auto val="1"/>
        <c:lblAlgn val="ctr"/>
        <c:lblOffset val="100"/>
        <c:noMultiLvlLbl val="0"/>
      </c:catAx>
      <c:valAx>
        <c:axId val="-1502638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a-IR"/>
          </a:p>
        </c:txPr>
        <c:crossAx val="-1502640176"/>
        <c:crosses val="autoZero"/>
        <c:crossBetween val="between"/>
      </c:valAx>
      <c:spPr>
        <a:noFill/>
        <a:ln w="12700">
          <a:solidFill>
            <a:sysClr val="windowText" lastClr="000000"/>
          </a:solidFill>
        </a:ln>
        <a:effectLst/>
      </c:spPr>
    </c:plotArea>
    <c:legend>
      <c:legendPos val="r"/>
      <c:layout>
        <c:manualLayout>
          <c:xMode val="edge"/>
          <c:yMode val="edge"/>
          <c:x val="0.75441080301534413"/>
          <c:y val="7.5394891414782825E-2"/>
          <c:w val="0.2215085748413449"/>
          <c:h val="0.13466075057150115"/>
        </c:manualLayout>
      </c:layout>
      <c:overlay val="0"/>
      <c:spPr>
        <a:noFill/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a-I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fa-IR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0.02778</cdr:x>
      <cdr:y>0.14142</cdr:y>
    </cdr:from>
    <cdr:to>
      <cdr:x>0.16316</cdr:x>
      <cdr:y>0.80171</cdr:y>
    </cdr:to>
    <cdr:sp macro="" textlink="">
      <cdr:nvSpPr>
        <cdr:cNvPr id="4" name="Text Box 3"/>
        <cdr:cNvSpPr txBox="1"/>
      </cdr:nvSpPr>
      <cdr:spPr>
        <a:xfrm xmlns:a="http://schemas.openxmlformats.org/drawingml/2006/main" rot="16200000">
          <a:off x="-419440" y="895766"/>
          <a:ext cx="1663719" cy="5848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pPr algn="ctr" rtl="1"/>
          <a:r>
            <a:rPr lang="fa-IR" sz="1100" b="1">
              <a:cs typeface="B Nazanin" panose="00000400000000000000" pitchFamily="2" charset="-78"/>
            </a:rPr>
            <a:t>محتوای قند محلول ریشه </a:t>
          </a:r>
          <a:endParaRPr lang="en-US" sz="1100" b="1">
            <a:cs typeface="B Nazanin" panose="00000400000000000000" pitchFamily="2" charset="-78"/>
          </a:endParaRPr>
        </a:p>
        <a:p xmlns:a="http://schemas.openxmlformats.org/drawingml/2006/main">
          <a:pPr algn="ctr" rtl="1"/>
          <a:r>
            <a:rPr lang="fa-IR" sz="1100" b="1">
              <a:cs typeface="B Nazanin" panose="00000400000000000000" pitchFamily="2" charset="-78"/>
            </a:rPr>
            <a:t>(میلی گرم بر گرم وزن خشک)</a:t>
          </a:r>
        </a:p>
        <a:p xmlns:a="http://schemas.openxmlformats.org/drawingml/2006/main">
          <a:pPr algn="ctr" rtl="0"/>
          <a:r>
            <a:rPr lang="en-US" sz="1100" b="1">
              <a:effectLst/>
              <a:latin typeface="+mn-lt"/>
              <a:ea typeface="+mn-ea"/>
              <a:cs typeface="B Nazanin" panose="00000400000000000000" pitchFamily="2" charset="-78"/>
            </a:rPr>
            <a:t> </a:t>
          </a:r>
          <a:endParaRPr lang="fa-IR" sz="1100" b="1">
            <a:cs typeface="B Nazanin" panose="00000400000000000000" pitchFamily="2" charset="-78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جوا97</b:Tag>
    <b:SourceType>JournalArticle</b:SourceType>
    <b:Guid>{B56E24FF-459C-4289-AE36-0E61AA882EDF}</b:Guid>
    <b:Title>بررسی مقاومت به تنش شوری در بذرهای حاصل از بوته‌های گوجه فرنگی محلول پاشی شده با ۲۴- اپی براسینولید و نانواکسید روی</b:Title>
    <b:Year>1397</b:Year>
    <b:LCID>fa-IR</b:LCID>
    <b:JournalName>فرآیند و کارکرد گیاهی</b:JournalName>
    <b:Pages>103-120</b:Pages>
    <b:Author>
      <b:Author>
        <b:NameList>
          <b:Person>
            <b:Last>جوادی</b:Last>
            <b:First>ا.</b:First>
          </b:Person>
          <b:Person>
            <b:Last>خماری</b:Last>
            <b:First>س.</b:First>
          </b:Person>
          <b:Person>
            <b:Last>اسماعیل پور</b:Last>
            <b:First>ب.</b:First>
          </b:Person>
          <b:Person>
            <b:Last>اصغری</b:Last>
            <b:First>ع.</b:First>
          </b:Person>
        </b:NameList>
      </b:Author>
    </b:Author>
    <b:Volume>7</b:Volume>
    <b:Issue>24</b:Issue>
    <b:RefOrder>2</b:RefOrder>
  </b:Source>
  <b:Source>
    <b:Tag>سید93</b:Tag>
    <b:SourceType>Book</b:SourceType>
    <b:Guid>{5DE43CA3-F56D-4433-9B48-40F899C483F8}</b:Guid>
    <b:Title>زراعت گیاهان علوفه ای</b:Title>
    <b:Year>1393</b:Year>
    <b:Pages>595</b:Pages>
    <b:City>اردبیل</b:City>
    <b:Publisher>انتشارات دانشگاه محقق اردبیلی</b:Publisher>
    <b:LCID>fa-IR</b:LCID>
    <b:Author>
      <b:Author>
        <b:NameList>
          <b:Person>
            <b:Last>سیدشریفی</b:Last>
            <b:First>ر.</b:First>
          </b:Person>
          <b:Person>
            <b:Last>حکم علی پور</b:Last>
            <b:First>س.</b:First>
          </b:Person>
        </b:NameList>
      </b:Author>
    </b:Author>
    <b:RefOrder>3</b:RefOrder>
  </b:Source>
  <b:Source>
    <b:Tag>اصغ00</b:Tag>
    <b:SourceType>ConferenceProceedings</b:SourceType>
    <b:Guid>{E8A12F18-7702-439C-A186-F3B68852E8E5}</b:Guid>
    <b:Title>تاثیر کاربرد انواع بیوچار و قارچ تریکودرما بر رشد ریشه و فعالیت آنزیم کاتالاز گیاهچه اسپرس رشد یافته در خاک حاوی فلزات سنگین</b:Title>
    <b:Year>1400</b:Year>
    <b:City>کرمان</b:City>
    <b:Publisher>دانشگاه شهید باهنر کرمان</b:Publisher>
    <b:Pages>5</b:Pages>
    <b:ConferenceName>هفدهمین کنگره ملی و سومین کنگره بین المللی علوم زراعت و اصلاح نباتات ایران</b:ConferenceName>
    <b:Author>
      <b:Author>
        <b:NameList>
          <b:Person>
            <b:Last>اصغری</b:Last>
            <b:First>م.ر.</b:First>
          </b:Person>
          <b:Person>
            <b:Last>خماری</b:Last>
            <b:First>س.</b:First>
          </b:Person>
          <b:Person>
            <b:Last>داوری</b:Last>
            <b:First>م.</b:First>
          </b:Person>
        </b:NameList>
      </b:Author>
    </b:Author>
    <b:LCID>fa-IR</b:LCID>
    <b:URL>https://civilica.com/doc/1419028</b:URL>
    <b:RefOrder>1</b:RefOrder>
  </b:Source>
</b:Sources>
</file>

<file path=customXml/itemProps1.xml><?xml version="1.0" encoding="utf-8"?>
<ds:datastoreItem xmlns:ds="http://schemas.openxmlformats.org/officeDocument/2006/customXml" ds:itemID="{E6CC8170-63CD-4E63-B1E7-E6BB74F2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Rasoulzadeh</dc:creator>
  <cp:keywords/>
  <dc:description/>
  <cp:lastModifiedBy>NBe</cp:lastModifiedBy>
  <cp:revision>3</cp:revision>
  <dcterms:created xsi:type="dcterms:W3CDTF">2026-05-14T18:57:00Z</dcterms:created>
  <dcterms:modified xsi:type="dcterms:W3CDTF">2026-05-29T16:30:00Z</dcterms:modified>
</cp:coreProperties>
</file>